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0314" w:type="dxa"/>
        <w:tblLayout w:type="fixed"/>
        <w:tblLook w:val="01E0" w:firstRow="1" w:lastRow="1" w:firstColumn="1" w:lastColumn="1" w:noHBand="0" w:noVBand="0"/>
      </w:tblPr>
      <w:tblGrid>
        <w:gridCol w:w="2267"/>
        <w:gridCol w:w="1246"/>
        <w:gridCol w:w="3117"/>
        <w:gridCol w:w="1700"/>
        <w:gridCol w:w="1984"/>
      </w:tblGrid>
      <w:tr w:rsidR="009F54AC">
        <w:trPr>
          <w:trHeight w:val="680"/>
        </w:trPr>
        <w:tc>
          <w:tcPr>
            <w:tcW w:w="10314" w:type="dxa"/>
            <w:gridSpan w:val="5"/>
            <w:vMerge w:val="restart"/>
            <w:tcMar>
              <w:top w:w="0" w:type="dxa"/>
              <w:left w:w="0" w:type="dxa"/>
              <w:bottom w:w="0" w:type="dxa"/>
              <w:right w:w="0" w:type="dxa"/>
            </w:tcMar>
          </w:tcPr>
          <w:p w:rsidR="009F54AC" w:rsidRDefault="0059407B">
            <w:pPr>
              <w:jc w:val="center"/>
              <w:rPr>
                <w:b/>
                <w:bCs/>
                <w:color w:val="000000"/>
                <w:sz w:val="28"/>
                <w:szCs w:val="28"/>
              </w:rPr>
            </w:pPr>
            <w:bookmarkStart w:id="0" w:name="__bookmark_1"/>
            <w:bookmarkEnd w:id="0"/>
            <w:r>
              <w:rPr>
                <w:b/>
                <w:bCs/>
                <w:color w:val="000000"/>
                <w:sz w:val="28"/>
                <w:szCs w:val="28"/>
              </w:rPr>
              <w:t>ПОЯСНИТЕЛЬНАЯ ЗАПИСКА</w:t>
            </w:r>
            <w:r>
              <w:rPr>
                <w:b/>
                <w:bCs/>
                <w:color w:val="000000"/>
                <w:sz w:val="28"/>
                <w:szCs w:val="28"/>
              </w:rPr>
              <w:br/>
              <w:t>к отчету об исполнении консолидированного бюджета</w:t>
            </w:r>
          </w:p>
        </w:tc>
      </w:tr>
      <w:tr w:rsidR="009F54AC">
        <w:trPr>
          <w:trHeight w:val="1"/>
        </w:trPr>
        <w:tc>
          <w:tcPr>
            <w:tcW w:w="10314" w:type="dxa"/>
            <w:gridSpan w:val="5"/>
            <w:vMerge w:val="restart"/>
            <w:tcMar>
              <w:top w:w="0" w:type="dxa"/>
              <w:left w:w="0" w:type="dxa"/>
              <w:bottom w:w="0" w:type="dxa"/>
              <w:right w:w="0" w:type="dxa"/>
            </w:tcMar>
          </w:tcPr>
          <w:p w:rsidR="009F54AC" w:rsidRDefault="009F54AC">
            <w:pPr>
              <w:spacing w:line="1" w:lineRule="auto"/>
            </w:pPr>
          </w:p>
        </w:tc>
      </w:tr>
      <w:tr w:rsidR="009F54AC">
        <w:tc>
          <w:tcPr>
            <w:tcW w:w="2267" w:type="dxa"/>
            <w:tcMar>
              <w:top w:w="0" w:type="dxa"/>
              <w:left w:w="0" w:type="dxa"/>
              <w:bottom w:w="0" w:type="dxa"/>
              <w:right w:w="0" w:type="dxa"/>
            </w:tcMar>
          </w:tcPr>
          <w:p w:rsidR="009F54AC" w:rsidRDefault="009F54AC">
            <w:pPr>
              <w:spacing w:line="1" w:lineRule="auto"/>
            </w:pPr>
          </w:p>
        </w:tc>
        <w:tc>
          <w:tcPr>
            <w:tcW w:w="4363" w:type="dxa"/>
            <w:gridSpan w:val="2"/>
            <w:vMerge w:val="restart"/>
            <w:tcMar>
              <w:top w:w="0" w:type="dxa"/>
              <w:left w:w="0" w:type="dxa"/>
              <w:bottom w:w="0" w:type="dxa"/>
              <w:right w:w="0" w:type="dxa"/>
            </w:tcMar>
          </w:tcPr>
          <w:p w:rsidR="009F54AC" w:rsidRDefault="009F54AC">
            <w:pPr>
              <w:spacing w:line="1" w:lineRule="auto"/>
            </w:pPr>
          </w:p>
        </w:tc>
        <w:tc>
          <w:tcPr>
            <w:tcW w:w="1700" w:type="dxa"/>
            <w:tcMar>
              <w:top w:w="0" w:type="dxa"/>
              <w:left w:w="0" w:type="dxa"/>
              <w:bottom w:w="0" w:type="dxa"/>
              <w:right w:w="0" w:type="dxa"/>
            </w:tcMar>
          </w:tcPr>
          <w:p w:rsidR="009F54AC" w:rsidRDefault="009F54AC">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F54AC" w:rsidRDefault="0059407B">
            <w:pPr>
              <w:jc w:val="center"/>
              <w:rPr>
                <w:color w:val="000000"/>
                <w:sz w:val="28"/>
                <w:szCs w:val="28"/>
              </w:rPr>
            </w:pPr>
            <w:r>
              <w:rPr>
                <w:color w:val="000000"/>
                <w:sz w:val="28"/>
                <w:szCs w:val="28"/>
              </w:rPr>
              <w:t>КОДЫ</w:t>
            </w:r>
          </w:p>
        </w:tc>
      </w:tr>
      <w:tr w:rsidR="009F54AC">
        <w:tc>
          <w:tcPr>
            <w:tcW w:w="2267" w:type="dxa"/>
            <w:tcMar>
              <w:top w:w="0" w:type="dxa"/>
              <w:left w:w="0" w:type="dxa"/>
              <w:bottom w:w="0" w:type="dxa"/>
              <w:right w:w="0" w:type="dxa"/>
            </w:tcMar>
          </w:tcPr>
          <w:p w:rsidR="009F54AC" w:rsidRDefault="009F54AC">
            <w:pPr>
              <w:spacing w:line="1" w:lineRule="auto"/>
            </w:pPr>
          </w:p>
        </w:tc>
        <w:tc>
          <w:tcPr>
            <w:tcW w:w="4363" w:type="dxa"/>
            <w:gridSpan w:val="2"/>
            <w:vMerge w:val="restart"/>
            <w:tcMar>
              <w:top w:w="0" w:type="dxa"/>
              <w:left w:w="0" w:type="dxa"/>
              <w:bottom w:w="0" w:type="dxa"/>
              <w:right w:w="0" w:type="dxa"/>
            </w:tcMar>
          </w:tcPr>
          <w:p w:rsidR="009F54AC" w:rsidRDefault="009F54AC">
            <w:pPr>
              <w:spacing w:line="1" w:lineRule="auto"/>
            </w:pPr>
          </w:p>
        </w:tc>
        <w:tc>
          <w:tcPr>
            <w:tcW w:w="1700" w:type="dxa"/>
            <w:tcMar>
              <w:top w:w="0" w:type="dxa"/>
              <w:left w:w="0" w:type="dxa"/>
              <w:bottom w:w="0" w:type="dxa"/>
              <w:right w:w="0" w:type="dxa"/>
            </w:tcMar>
          </w:tcPr>
          <w:p w:rsidR="009F54AC" w:rsidRDefault="0059407B">
            <w:pPr>
              <w:jc w:val="right"/>
              <w:rPr>
                <w:color w:val="000000"/>
                <w:sz w:val="28"/>
                <w:szCs w:val="28"/>
              </w:rPr>
            </w:pPr>
            <w:r>
              <w:rPr>
                <w:color w:val="000000"/>
                <w:sz w:val="28"/>
                <w:szCs w:val="28"/>
              </w:rPr>
              <w:t xml:space="preserve">Форма по ОКУД </w:t>
            </w:r>
          </w:p>
        </w:tc>
        <w:tc>
          <w:tcPr>
            <w:tcW w:w="1984"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F54AC" w:rsidRDefault="0059407B">
            <w:pPr>
              <w:jc w:val="center"/>
              <w:rPr>
                <w:color w:val="000000"/>
                <w:sz w:val="28"/>
                <w:szCs w:val="28"/>
              </w:rPr>
            </w:pPr>
            <w:r>
              <w:rPr>
                <w:color w:val="000000"/>
                <w:sz w:val="28"/>
                <w:szCs w:val="28"/>
              </w:rPr>
              <w:t>0503360</w:t>
            </w:r>
          </w:p>
        </w:tc>
      </w:tr>
      <w:tr w:rsidR="009F54AC">
        <w:tc>
          <w:tcPr>
            <w:tcW w:w="2267" w:type="dxa"/>
            <w:tcMar>
              <w:top w:w="0" w:type="dxa"/>
              <w:left w:w="0" w:type="dxa"/>
              <w:bottom w:w="0" w:type="dxa"/>
              <w:right w:w="0" w:type="dxa"/>
            </w:tcMar>
          </w:tcPr>
          <w:p w:rsidR="009F54AC" w:rsidRDefault="009F54AC">
            <w:pPr>
              <w:spacing w:line="1" w:lineRule="auto"/>
            </w:pPr>
          </w:p>
        </w:tc>
        <w:tc>
          <w:tcPr>
            <w:tcW w:w="4363" w:type="dxa"/>
            <w:gridSpan w:val="2"/>
            <w:vMerge w:val="restart"/>
            <w:tcMar>
              <w:top w:w="0" w:type="dxa"/>
              <w:left w:w="0" w:type="dxa"/>
              <w:bottom w:w="0" w:type="dxa"/>
              <w:right w:w="0" w:type="dxa"/>
            </w:tcMar>
          </w:tcPr>
          <w:tbl>
            <w:tblPr>
              <w:tblOverlap w:val="never"/>
              <w:tblW w:w="4363" w:type="dxa"/>
              <w:jc w:val="center"/>
              <w:tblLayout w:type="fixed"/>
              <w:tblCellMar>
                <w:left w:w="0" w:type="dxa"/>
                <w:right w:w="0" w:type="dxa"/>
              </w:tblCellMar>
              <w:tblLook w:val="01E0" w:firstRow="1" w:lastRow="1" w:firstColumn="1" w:lastColumn="1" w:noHBand="0" w:noVBand="0"/>
            </w:tblPr>
            <w:tblGrid>
              <w:gridCol w:w="4363"/>
            </w:tblGrid>
            <w:tr w:rsidR="009F54AC">
              <w:trPr>
                <w:jc w:val="center"/>
              </w:trPr>
              <w:tc>
                <w:tcPr>
                  <w:tcW w:w="4363" w:type="dxa"/>
                  <w:tcMar>
                    <w:top w:w="0" w:type="dxa"/>
                    <w:left w:w="0" w:type="dxa"/>
                    <w:bottom w:w="0" w:type="dxa"/>
                    <w:right w:w="0" w:type="dxa"/>
                  </w:tcMar>
                </w:tcPr>
                <w:p w:rsidR="009F54AC" w:rsidRDefault="0059407B">
                  <w:pPr>
                    <w:jc w:val="center"/>
                  </w:pPr>
                  <w:r>
                    <w:rPr>
                      <w:color w:val="000000"/>
                      <w:sz w:val="28"/>
                      <w:szCs w:val="28"/>
                    </w:rPr>
                    <w:t>на 1 января 2025 г.</w:t>
                  </w:r>
                </w:p>
              </w:tc>
            </w:tr>
          </w:tbl>
          <w:p w:rsidR="009F54AC" w:rsidRDefault="009F54AC">
            <w:pPr>
              <w:spacing w:line="1" w:lineRule="auto"/>
            </w:pPr>
          </w:p>
        </w:tc>
        <w:tc>
          <w:tcPr>
            <w:tcW w:w="1700" w:type="dxa"/>
            <w:tcMar>
              <w:top w:w="0" w:type="dxa"/>
              <w:left w:w="0" w:type="dxa"/>
              <w:bottom w:w="0" w:type="dxa"/>
              <w:right w:w="0" w:type="dxa"/>
            </w:tcMar>
          </w:tcPr>
          <w:p w:rsidR="009F54AC" w:rsidRDefault="0059407B">
            <w:pPr>
              <w:jc w:val="right"/>
              <w:rPr>
                <w:color w:val="000000"/>
                <w:sz w:val="28"/>
                <w:szCs w:val="28"/>
              </w:rPr>
            </w:pPr>
            <w:r>
              <w:rPr>
                <w:color w:val="000000"/>
                <w:sz w:val="28"/>
                <w:szCs w:val="28"/>
              </w:rPr>
              <w:t xml:space="preserve">Дата </w:t>
            </w: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F54AC" w:rsidRDefault="0059407B">
            <w:pPr>
              <w:jc w:val="center"/>
              <w:rPr>
                <w:color w:val="000000"/>
                <w:sz w:val="28"/>
                <w:szCs w:val="28"/>
              </w:rPr>
            </w:pPr>
            <w:r>
              <w:rPr>
                <w:color w:val="000000"/>
                <w:sz w:val="28"/>
                <w:szCs w:val="28"/>
              </w:rPr>
              <w:t>01.01.2025</w:t>
            </w:r>
          </w:p>
        </w:tc>
      </w:tr>
      <w:tr w:rsidR="009F54AC">
        <w:trPr>
          <w:trHeight w:val="226"/>
        </w:trPr>
        <w:tc>
          <w:tcPr>
            <w:tcW w:w="2267" w:type="dxa"/>
            <w:tcMar>
              <w:top w:w="0" w:type="dxa"/>
              <w:left w:w="0" w:type="dxa"/>
              <w:bottom w:w="0" w:type="dxa"/>
              <w:right w:w="0" w:type="dxa"/>
            </w:tcMar>
          </w:tcPr>
          <w:p w:rsidR="009F54AC" w:rsidRDefault="009F54AC">
            <w:pPr>
              <w:spacing w:line="1" w:lineRule="auto"/>
            </w:pPr>
          </w:p>
        </w:tc>
        <w:tc>
          <w:tcPr>
            <w:tcW w:w="4363" w:type="dxa"/>
            <w:gridSpan w:val="2"/>
            <w:vMerge w:val="restart"/>
            <w:tcMar>
              <w:top w:w="0" w:type="dxa"/>
              <w:left w:w="0" w:type="dxa"/>
              <w:bottom w:w="0" w:type="dxa"/>
              <w:right w:w="0" w:type="dxa"/>
            </w:tcMar>
          </w:tcPr>
          <w:p w:rsidR="009F54AC" w:rsidRDefault="009F54AC">
            <w:pPr>
              <w:spacing w:line="1" w:lineRule="auto"/>
            </w:pPr>
          </w:p>
        </w:tc>
        <w:tc>
          <w:tcPr>
            <w:tcW w:w="1700" w:type="dxa"/>
            <w:tcMar>
              <w:top w:w="0" w:type="dxa"/>
              <w:left w:w="0" w:type="dxa"/>
              <w:bottom w:w="0" w:type="dxa"/>
              <w:right w:w="0" w:type="dxa"/>
            </w:tcMar>
          </w:tcPr>
          <w:p w:rsidR="009F54AC" w:rsidRDefault="0059407B">
            <w:pPr>
              <w:jc w:val="right"/>
              <w:rPr>
                <w:color w:val="000000"/>
                <w:sz w:val="28"/>
                <w:szCs w:val="28"/>
              </w:rPr>
            </w:pPr>
            <w:r>
              <w:rPr>
                <w:color w:val="000000"/>
                <w:sz w:val="28"/>
                <w:szCs w:val="28"/>
              </w:rPr>
              <w:t xml:space="preserve">по ОКПО </w:t>
            </w: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F54AC" w:rsidRDefault="0059407B">
            <w:pPr>
              <w:jc w:val="center"/>
              <w:rPr>
                <w:color w:val="000000"/>
                <w:sz w:val="28"/>
                <w:szCs w:val="28"/>
              </w:rPr>
            </w:pPr>
            <w:r>
              <w:rPr>
                <w:color w:val="000000"/>
                <w:sz w:val="28"/>
                <w:szCs w:val="28"/>
              </w:rPr>
              <w:t>05223704</w:t>
            </w:r>
          </w:p>
        </w:tc>
      </w:tr>
      <w:tr w:rsidR="009F54AC">
        <w:tc>
          <w:tcPr>
            <w:tcW w:w="3513" w:type="dxa"/>
            <w:gridSpan w:val="2"/>
            <w:vMerge w:val="restart"/>
            <w:tcMar>
              <w:top w:w="0" w:type="dxa"/>
              <w:left w:w="0" w:type="dxa"/>
              <w:bottom w:w="0" w:type="dxa"/>
              <w:right w:w="0" w:type="dxa"/>
            </w:tcMar>
          </w:tcPr>
          <w:p w:rsidR="009F54AC" w:rsidRDefault="0059407B">
            <w:pPr>
              <w:rPr>
                <w:color w:val="000000"/>
                <w:sz w:val="28"/>
                <w:szCs w:val="28"/>
              </w:rPr>
            </w:pPr>
            <w:r>
              <w:rPr>
                <w:color w:val="000000"/>
                <w:sz w:val="28"/>
                <w:szCs w:val="28"/>
              </w:rPr>
              <w:t>Наименование финансового органа</w:t>
            </w:r>
          </w:p>
        </w:tc>
        <w:tc>
          <w:tcPr>
            <w:tcW w:w="3117" w:type="dxa"/>
            <w:vMerge w:val="restart"/>
            <w:tcMar>
              <w:top w:w="0" w:type="dxa"/>
              <w:left w:w="0" w:type="dxa"/>
              <w:bottom w:w="0" w:type="dxa"/>
              <w:right w:w="0" w:type="dxa"/>
            </w:tcMar>
          </w:tcPr>
          <w:p w:rsidR="009F54AC" w:rsidRDefault="0059407B">
            <w:pPr>
              <w:rPr>
                <w:color w:val="000000"/>
                <w:sz w:val="28"/>
                <w:szCs w:val="28"/>
                <w:u w:val="single"/>
              </w:rPr>
            </w:pPr>
            <w:r>
              <w:rPr>
                <w:color w:val="000000"/>
                <w:sz w:val="28"/>
                <w:szCs w:val="28"/>
                <w:u w:val="single"/>
              </w:rPr>
              <w:t>АДМИНИСТРАЦИЯ ГОРОДА ПЫТЬ-ЯХА ИСПОЛНИТЕЛЬНО-РАСПОРЯДИТЕЛЬНЫЙ ОРГАН МУНИЦИПАЛЬНОГО ОБРАЗОВАНИЯ</w:t>
            </w:r>
          </w:p>
        </w:tc>
        <w:tc>
          <w:tcPr>
            <w:tcW w:w="1700" w:type="dxa"/>
            <w:tcMar>
              <w:top w:w="0" w:type="dxa"/>
              <w:left w:w="0" w:type="dxa"/>
              <w:bottom w:w="0" w:type="dxa"/>
              <w:right w:w="0" w:type="dxa"/>
            </w:tcMar>
          </w:tcPr>
          <w:p w:rsidR="009F54AC" w:rsidRDefault="0059407B">
            <w:pPr>
              <w:jc w:val="right"/>
              <w:rPr>
                <w:color w:val="000000"/>
                <w:sz w:val="28"/>
                <w:szCs w:val="28"/>
              </w:rPr>
            </w:pPr>
            <w:r>
              <w:rPr>
                <w:color w:val="000000"/>
                <w:sz w:val="28"/>
                <w:szCs w:val="28"/>
              </w:rPr>
              <w:t xml:space="preserve">Глава по БК </w:t>
            </w: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center"/>
          </w:tcPr>
          <w:p w:rsidR="009F54AC" w:rsidRDefault="0059407B">
            <w:pPr>
              <w:jc w:val="center"/>
              <w:rPr>
                <w:color w:val="000000"/>
                <w:sz w:val="28"/>
                <w:szCs w:val="28"/>
              </w:rPr>
            </w:pPr>
            <w:r>
              <w:rPr>
                <w:color w:val="000000"/>
                <w:sz w:val="28"/>
                <w:szCs w:val="28"/>
              </w:rPr>
              <w:t>040</w:t>
            </w:r>
          </w:p>
        </w:tc>
      </w:tr>
      <w:tr w:rsidR="009F54AC">
        <w:tc>
          <w:tcPr>
            <w:tcW w:w="3513" w:type="dxa"/>
            <w:gridSpan w:val="2"/>
            <w:vMerge w:val="restart"/>
            <w:tcMar>
              <w:top w:w="0" w:type="dxa"/>
              <w:left w:w="0" w:type="dxa"/>
              <w:bottom w:w="0" w:type="dxa"/>
              <w:right w:w="0" w:type="dxa"/>
            </w:tcMar>
          </w:tcPr>
          <w:p w:rsidR="009F54AC" w:rsidRDefault="0059407B">
            <w:pPr>
              <w:rPr>
                <w:color w:val="000000"/>
                <w:sz w:val="28"/>
                <w:szCs w:val="28"/>
              </w:rPr>
            </w:pPr>
            <w:r>
              <w:rPr>
                <w:color w:val="000000"/>
                <w:sz w:val="28"/>
                <w:szCs w:val="28"/>
              </w:rPr>
              <w:t>Наименование бюджета</w:t>
            </w:r>
          </w:p>
        </w:tc>
        <w:tc>
          <w:tcPr>
            <w:tcW w:w="3117" w:type="dxa"/>
            <w:vMerge w:val="restart"/>
            <w:tcMar>
              <w:top w:w="0" w:type="dxa"/>
              <w:left w:w="0" w:type="dxa"/>
              <w:bottom w:w="0" w:type="dxa"/>
              <w:right w:w="0" w:type="dxa"/>
            </w:tcMar>
          </w:tcPr>
          <w:p w:rsidR="009F54AC" w:rsidRDefault="0059407B">
            <w:pPr>
              <w:rPr>
                <w:color w:val="000000"/>
                <w:sz w:val="28"/>
                <w:szCs w:val="28"/>
                <w:u w:val="single"/>
              </w:rPr>
            </w:pPr>
            <w:r>
              <w:rPr>
                <w:color w:val="000000"/>
                <w:sz w:val="28"/>
                <w:szCs w:val="28"/>
                <w:u w:val="single"/>
              </w:rPr>
              <w:t>Бюджет муниципального образования городской округ город Пыть-Ях</w:t>
            </w:r>
          </w:p>
        </w:tc>
        <w:tc>
          <w:tcPr>
            <w:tcW w:w="1700" w:type="dxa"/>
            <w:tcMar>
              <w:top w:w="0" w:type="dxa"/>
              <w:left w:w="0" w:type="dxa"/>
              <w:bottom w:w="0" w:type="dxa"/>
              <w:right w:w="0" w:type="dxa"/>
            </w:tcMar>
          </w:tcPr>
          <w:p w:rsidR="009F54AC" w:rsidRDefault="0059407B">
            <w:pPr>
              <w:jc w:val="right"/>
              <w:rPr>
                <w:color w:val="000000"/>
                <w:sz w:val="28"/>
                <w:szCs w:val="28"/>
              </w:rPr>
            </w:pPr>
            <w:r>
              <w:rPr>
                <w:color w:val="000000"/>
                <w:sz w:val="28"/>
                <w:szCs w:val="28"/>
              </w:rPr>
              <w:t xml:space="preserve">по ОКТМО </w:t>
            </w: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center"/>
          </w:tcPr>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9F54AC">
              <w:trPr>
                <w:jc w:val="center"/>
              </w:trPr>
              <w:tc>
                <w:tcPr>
                  <w:tcW w:w="1984" w:type="dxa"/>
                  <w:tcMar>
                    <w:top w:w="0" w:type="dxa"/>
                    <w:left w:w="0" w:type="dxa"/>
                    <w:bottom w:w="0" w:type="dxa"/>
                    <w:right w:w="0" w:type="dxa"/>
                  </w:tcMar>
                </w:tcPr>
                <w:p w:rsidR="009F54AC" w:rsidRDefault="0059407B">
                  <w:pPr>
                    <w:jc w:val="center"/>
                  </w:pPr>
                  <w:r>
                    <w:rPr>
                      <w:color w:val="000000"/>
                      <w:sz w:val="28"/>
                      <w:szCs w:val="28"/>
                    </w:rPr>
                    <w:t>71885000</w:t>
                  </w:r>
                </w:p>
              </w:tc>
            </w:tr>
          </w:tbl>
          <w:p w:rsidR="009F54AC" w:rsidRDefault="009F54AC">
            <w:pPr>
              <w:spacing w:line="1" w:lineRule="auto"/>
            </w:pPr>
          </w:p>
        </w:tc>
      </w:tr>
      <w:tr w:rsidR="009F54AC">
        <w:tc>
          <w:tcPr>
            <w:tcW w:w="2267" w:type="dxa"/>
            <w:tcMar>
              <w:top w:w="0" w:type="dxa"/>
              <w:left w:w="0" w:type="dxa"/>
              <w:bottom w:w="0" w:type="dxa"/>
              <w:right w:w="0" w:type="dxa"/>
            </w:tcMar>
          </w:tcPr>
          <w:p w:rsidR="009F54AC" w:rsidRDefault="0059407B">
            <w:pPr>
              <w:rPr>
                <w:color w:val="000000"/>
                <w:sz w:val="28"/>
                <w:szCs w:val="28"/>
              </w:rPr>
            </w:pPr>
            <w:r>
              <w:rPr>
                <w:color w:val="000000"/>
                <w:sz w:val="28"/>
                <w:szCs w:val="28"/>
              </w:rPr>
              <w:t>Периодичность:</w:t>
            </w:r>
          </w:p>
        </w:tc>
        <w:tc>
          <w:tcPr>
            <w:tcW w:w="4363" w:type="dxa"/>
            <w:gridSpan w:val="2"/>
            <w:vMerge w:val="restart"/>
            <w:tcMar>
              <w:top w:w="0" w:type="dxa"/>
              <w:left w:w="0" w:type="dxa"/>
              <w:bottom w:w="0" w:type="dxa"/>
              <w:right w:w="0" w:type="dxa"/>
            </w:tcMar>
          </w:tcPr>
          <w:p w:rsidR="009F54AC" w:rsidRDefault="0059407B">
            <w:pPr>
              <w:rPr>
                <w:color w:val="000000"/>
                <w:sz w:val="28"/>
                <w:szCs w:val="28"/>
              </w:rPr>
            </w:pPr>
            <w:r>
              <w:rPr>
                <w:color w:val="000000"/>
                <w:sz w:val="28"/>
                <w:szCs w:val="28"/>
              </w:rPr>
              <w:t>месячная</w:t>
            </w:r>
          </w:p>
        </w:tc>
        <w:tc>
          <w:tcPr>
            <w:tcW w:w="1700" w:type="dxa"/>
            <w:tcMar>
              <w:top w:w="0" w:type="dxa"/>
              <w:left w:w="0" w:type="dxa"/>
              <w:bottom w:w="0" w:type="dxa"/>
              <w:right w:w="0" w:type="dxa"/>
            </w:tcMar>
          </w:tcPr>
          <w:p w:rsidR="009F54AC" w:rsidRDefault="009F54AC">
            <w:pPr>
              <w:spacing w:line="1" w:lineRule="auto"/>
            </w:pP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tcPr>
          <w:p w:rsidR="009F54AC" w:rsidRDefault="009F54AC">
            <w:pPr>
              <w:spacing w:line="1" w:lineRule="auto"/>
              <w:jc w:val="center"/>
            </w:pPr>
          </w:p>
        </w:tc>
      </w:tr>
      <w:tr w:rsidR="009F54AC">
        <w:tc>
          <w:tcPr>
            <w:tcW w:w="2267" w:type="dxa"/>
            <w:tcMar>
              <w:top w:w="0" w:type="dxa"/>
              <w:left w:w="0" w:type="dxa"/>
              <w:bottom w:w="0" w:type="dxa"/>
              <w:right w:w="0" w:type="dxa"/>
            </w:tcMar>
          </w:tcPr>
          <w:p w:rsidR="009F54AC" w:rsidRDefault="0059407B">
            <w:pPr>
              <w:rPr>
                <w:color w:val="000000"/>
                <w:sz w:val="28"/>
                <w:szCs w:val="28"/>
              </w:rPr>
            </w:pPr>
            <w:r>
              <w:rPr>
                <w:color w:val="000000"/>
                <w:sz w:val="28"/>
                <w:szCs w:val="28"/>
              </w:rPr>
              <w:t>Единица измерения:</w:t>
            </w:r>
          </w:p>
        </w:tc>
        <w:tc>
          <w:tcPr>
            <w:tcW w:w="4363" w:type="dxa"/>
            <w:gridSpan w:val="2"/>
            <w:vMerge w:val="restart"/>
            <w:tcMar>
              <w:top w:w="0" w:type="dxa"/>
              <w:left w:w="0" w:type="dxa"/>
              <w:bottom w:w="0" w:type="dxa"/>
              <w:right w:w="0" w:type="dxa"/>
            </w:tcMar>
          </w:tcPr>
          <w:p w:rsidR="009F54AC" w:rsidRDefault="0059407B">
            <w:pPr>
              <w:rPr>
                <w:color w:val="000000"/>
                <w:sz w:val="28"/>
                <w:szCs w:val="28"/>
              </w:rPr>
            </w:pPr>
            <w:r>
              <w:rPr>
                <w:color w:val="000000"/>
                <w:sz w:val="28"/>
                <w:szCs w:val="28"/>
              </w:rPr>
              <w:t>руб.</w:t>
            </w:r>
          </w:p>
        </w:tc>
        <w:tc>
          <w:tcPr>
            <w:tcW w:w="1700" w:type="dxa"/>
            <w:tcMar>
              <w:top w:w="0" w:type="dxa"/>
              <w:left w:w="0" w:type="dxa"/>
              <w:bottom w:w="0" w:type="dxa"/>
              <w:right w:w="0" w:type="dxa"/>
            </w:tcMar>
          </w:tcPr>
          <w:p w:rsidR="009F54AC" w:rsidRDefault="0059407B">
            <w:pPr>
              <w:jc w:val="right"/>
              <w:rPr>
                <w:color w:val="000000"/>
                <w:sz w:val="28"/>
                <w:szCs w:val="28"/>
              </w:rPr>
            </w:pPr>
            <w:r>
              <w:rPr>
                <w:color w:val="000000"/>
                <w:sz w:val="28"/>
                <w:szCs w:val="28"/>
              </w:rPr>
              <w:t xml:space="preserve">по ОКЕИ </w:t>
            </w:r>
          </w:p>
        </w:tc>
        <w:tc>
          <w:tcPr>
            <w:tcW w:w="1984"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9F54AC" w:rsidRDefault="0059407B">
            <w:pPr>
              <w:jc w:val="center"/>
              <w:rPr>
                <w:color w:val="000000"/>
                <w:sz w:val="28"/>
                <w:szCs w:val="28"/>
              </w:rPr>
            </w:pPr>
            <w:r>
              <w:rPr>
                <w:color w:val="000000"/>
                <w:sz w:val="28"/>
                <w:szCs w:val="28"/>
              </w:rPr>
              <w:t>383</w:t>
            </w:r>
          </w:p>
        </w:tc>
      </w:tr>
      <w:tr w:rsidR="009F54AC">
        <w:trPr>
          <w:trHeight w:val="566"/>
        </w:trPr>
        <w:tc>
          <w:tcPr>
            <w:tcW w:w="10314" w:type="dxa"/>
            <w:gridSpan w:val="5"/>
            <w:vMerge w:val="restart"/>
            <w:tcMar>
              <w:top w:w="0" w:type="dxa"/>
              <w:left w:w="0" w:type="dxa"/>
              <w:bottom w:w="0" w:type="dxa"/>
              <w:right w:w="0" w:type="dxa"/>
            </w:tcMar>
          </w:tcPr>
          <w:p w:rsidR="009F54AC" w:rsidRDefault="009F54AC">
            <w:pPr>
              <w:rPr>
                <w:color w:val="000000"/>
                <w:sz w:val="28"/>
                <w:szCs w:val="28"/>
              </w:rPr>
            </w:pPr>
          </w:p>
        </w:tc>
      </w:tr>
    </w:tbl>
    <w:p w:rsidR="009F54AC" w:rsidRDefault="009F54AC">
      <w:pPr>
        <w:rPr>
          <w:vanish/>
        </w:rPr>
      </w:pPr>
      <w:bookmarkStart w:id="1" w:name="__bookmark_2"/>
      <w:bookmarkEnd w:id="1"/>
    </w:p>
    <w:tbl>
      <w:tblPr>
        <w:tblOverlap w:val="never"/>
        <w:tblW w:w="10314" w:type="dxa"/>
        <w:tblLayout w:type="fixed"/>
        <w:tblLook w:val="01E0" w:firstRow="1" w:lastRow="1" w:firstColumn="1" w:lastColumn="1" w:noHBand="0" w:noVBand="0"/>
      </w:tblPr>
      <w:tblGrid>
        <w:gridCol w:w="2267"/>
        <w:gridCol w:w="623"/>
        <w:gridCol w:w="623"/>
        <w:gridCol w:w="283"/>
        <w:gridCol w:w="2834"/>
        <w:gridCol w:w="1700"/>
        <w:gridCol w:w="1984"/>
      </w:tblGrid>
      <w:tr w:rsidR="009F54AC">
        <w:tc>
          <w:tcPr>
            <w:tcW w:w="2267" w:type="dxa"/>
            <w:tcMar>
              <w:top w:w="0" w:type="dxa"/>
              <w:left w:w="0" w:type="dxa"/>
              <w:bottom w:w="0" w:type="dxa"/>
              <w:right w:w="0" w:type="dxa"/>
            </w:tcMar>
          </w:tcPr>
          <w:p w:rsidR="009F54AC" w:rsidRDefault="009F54AC">
            <w:pPr>
              <w:spacing w:line="1" w:lineRule="auto"/>
              <w:jc w:val="center"/>
            </w:pPr>
          </w:p>
        </w:tc>
        <w:tc>
          <w:tcPr>
            <w:tcW w:w="623" w:type="dxa"/>
            <w:tcMar>
              <w:top w:w="0" w:type="dxa"/>
              <w:left w:w="0" w:type="dxa"/>
              <w:bottom w:w="0" w:type="dxa"/>
              <w:right w:w="0" w:type="dxa"/>
            </w:tcMar>
          </w:tcPr>
          <w:p w:rsidR="009F54AC" w:rsidRDefault="009F54AC">
            <w:pPr>
              <w:spacing w:line="1" w:lineRule="auto"/>
              <w:jc w:val="center"/>
            </w:pPr>
          </w:p>
        </w:tc>
        <w:tc>
          <w:tcPr>
            <w:tcW w:w="623" w:type="dxa"/>
            <w:tcMar>
              <w:top w:w="0" w:type="dxa"/>
              <w:left w:w="0" w:type="dxa"/>
              <w:bottom w:w="0" w:type="dxa"/>
              <w:right w:w="0" w:type="dxa"/>
            </w:tcMar>
          </w:tcPr>
          <w:p w:rsidR="009F54AC" w:rsidRDefault="009F54AC">
            <w:pPr>
              <w:spacing w:line="1" w:lineRule="auto"/>
              <w:jc w:val="center"/>
            </w:pPr>
          </w:p>
        </w:tc>
        <w:tc>
          <w:tcPr>
            <w:tcW w:w="283" w:type="dxa"/>
            <w:tcMar>
              <w:top w:w="0" w:type="dxa"/>
              <w:left w:w="0" w:type="dxa"/>
              <w:bottom w:w="0" w:type="dxa"/>
              <w:right w:w="0" w:type="dxa"/>
            </w:tcMar>
          </w:tcPr>
          <w:p w:rsidR="009F54AC" w:rsidRDefault="009F54AC">
            <w:pPr>
              <w:spacing w:line="1" w:lineRule="auto"/>
              <w:jc w:val="center"/>
            </w:pPr>
          </w:p>
        </w:tc>
        <w:tc>
          <w:tcPr>
            <w:tcW w:w="2834" w:type="dxa"/>
            <w:tcMar>
              <w:top w:w="0" w:type="dxa"/>
              <w:left w:w="0" w:type="dxa"/>
              <w:bottom w:w="0" w:type="dxa"/>
              <w:right w:w="0" w:type="dxa"/>
            </w:tcMar>
          </w:tcPr>
          <w:p w:rsidR="009F54AC" w:rsidRDefault="009F54AC">
            <w:pPr>
              <w:spacing w:line="1" w:lineRule="auto"/>
              <w:jc w:val="center"/>
            </w:pPr>
          </w:p>
        </w:tc>
        <w:tc>
          <w:tcPr>
            <w:tcW w:w="1700" w:type="dxa"/>
            <w:tcMar>
              <w:top w:w="0" w:type="dxa"/>
              <w:left w:w="0" w:type="dxa"/>
              <w:bottom w:w="0" w:type="dxa"/>
              <w:right w:w="0" w:type="dxa"/>
            </w:tcMar>
          </w:tcPr>
          <w:p w:rsidR="009F54AC" w:rsidRDefault="009F54AC">
            <w:pPr>
              <w:spacing w:line="1" w:lineRule="auto"/>
              <w:jc w:val="center"/>
            </w:pPr>
          </w:p>
        </w:tc>
        <w:tc>
          <w:tcPr>
            <w:tcW w:w="1984" w:type="dxa"/>
            <w:tcMar>
              <w:top w:w="0" w:type="dxa"/>
              <w:left w:w="0" w:type="dxa"/>
              <w:bottom w:w="0" w:type="dxa"/>
              <w:right w:w="0" w:type="dxa"/>
            </w:tcMar>
          </w:tcPr>
          <w:p w:rsidR="009F54AC" w:rsidRDefault="009F54AC">
            <w:pPr>
              <w:spacing w:line="1" w:lineRule="auto"/>
              <w:jc w:val="center"/>
            </w:pPr>
          </w:p>
        </w:tc>
      </w:tr>
      <w:tr w:rsidR="009F54AC">
        <w:trPr>
          <w:trHeight w:val="322"/>
        </w:trPr>
        <w:tc>
          <w:tcPr>
            <w:tcW w:w="10314" w:type="dxa"/>
            <w:gridSpan w:val="7"/>
            <w:vMerge w:val="restart"/>
            <w:tcMar>
              <w:top w:w="0" w:type="dxa"/>
              <w:left w:w="0" w:type="dxa"/>
              <w:bottom w:w="0" w:type="dxa"/>
              <w:right w:w="0" w:type="dxa"/>
            </w:tcMar>
          </w:tcPr>
          <w:p w:rsidR="009F54AC" w:rsidRDefault="0059407B">
            <w:pPr>
              <w:jc w:val="center"/>
              <w:rPr>
                <w:b/>
                <w:bCs/>
                <w:color w:val="000000"/>
                <w:sz w:val="28"/>
                <w:szCs w:val="28"/>
              </w:rPr>
            </w:pPr>
            <w:r>
              <w:rPr>
                <w:b/>
                <w:bCs/>
                <w:color w:val="000000"/>
                <w:sz w:val="28"/>
                <w:szCs w:val="28"/>
              </w:rPr>
              <w:t>Раздел 1 «Организационная структура субъекта бюджетной отчетности»</w:t>
            </w:r>
          </w:p>
          <w:p w:rsidR="009F54AC" w:rsidRDefault="0059407B">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9F54AC">
              <w:tc>
                <w:tcPr>
                  <w:tcW w:w="10314" w:type="dxa"/>
                  <w:tcMar>
                    <w:top w:w="0" w:type="dxa"/>
                    <w:left w:w="0" w:type="dxa"/>
                    <w:bottom w:w="0" w:type="dxa"/>
                    <w:right w:w="0" w:type="dxa"/>
                  </w:tcMar>
                </w:tcPr>
                <w:p w:rsidR="009F54AC" w:rsidRDefault="0059407B">
                  <w:pPr>
                    <w:ind w:firstLine="700"/>
                    <w:jc w:val="center"/>
                  </w:pPr>
                  <w:r>
                    <w:rPr>
                      <w:b/>
                      <w:bCs/>
                      <w:color w:val="000000"/>
                      <w:sz w:val="28"/>
                      <w:szCs w:val="28"/>
                    </w:rPr>
                    <w:t>Раздел 1. «Организационная структура субъекта бюджетной отчетности».</w:t>
                  </w:r>
                </w:p>
                <w:p w:rsidR="009F54AC" w:rsidRDefault="0059407B">
                  <w:pPr>
                    <w:ind w:firstLine="700"/>
                    <w:jc w:val="both"/>
                  </w:pPr>
                  <w:r>
                    <w:rPr>
                      <w:color w:val="000000"/>
                      <w:sz w:val="28"/>
                      <w:szCs w:val="28"/>
                    </w:rPr>
                    <w:t>В соответствии с Уставом города Пыть-Яха, утверждённого решением Думы города Пыть-Яха от 25.06.2005 года № 516 (в редакции от 14.11.2024 №295) на территории муниципального образования действуют три органа местного самоуправления с правом образования юридического лица -  МКУ Дума города Пыть-Яха; МКУ Счётно-контрольная палата города Пыть-Яха и  МКУ Администрация города Пыть-Яха. </w:t>
                  </w:r>
                </w:p>
                <w:p w:rsidR="009F54AC" w:rsidRDefault="0059407B">
                  <w:pPr>
                    <w:ind w:firstLine="700"/>
                    <w:jc w:val="both"/>
                  </w:pPr>
                  <w:r>
                    <w:rPr>
                      <w:color w:val="000000"/>
                      <w:sz w:val="28"/>
                      <w:szCs w:val="28"/>
                    </w:rPr>
                    <w:t>Высшим должностным лицом города Пыть-Яха является Глава города, наделенный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По сравнению с 2023 годом количество органов местного самоуправления не изменилось. </w:t>
                  </w:r>
                </w:p>
                <w:p w:rsidR="009F54AC" w:rsidRDefault="0059407B">
                  <w:pPr>
                    <w:ind w:firstLine="700"/>
                    <w:jc w:val="both"/>
                  </w:pPr>
                  <w:r>
                    <w:rPr>
                      <w:color w:val="000000"/>
                      <w:sz w:val="28"/>
                      <w:szCs w:val="28"/>
                    </w:rPr>
                    <w:t xml:space="preserve">Кроме того, на территории муниципального образования осуществляют свою деятельность 4 казённых учреждений: - МКУ «Центр бухгалтерского и комплексного обслуживания муниципальных учреждений города Пыть-Яха»; - МКУ «Единая дежурно-диспетчерская служба города Пыть-Яха»; - МКУ «Управление капитального строительства города Пыть-Яха»; - МКУ «Управление материально-технического обеспечения органов местного самоуправления». Администрация города Пыть-Яха </w:t>
                  </w:r>
                  <w:r>
                    <w:rPr>
                      <w:color w:val="000000"/>
                      <w:sz w:val="28"/>
                      <w:szCs w:val="28"/>
                    </w:rPr>
                    <w:lastRenderedPageBreak/>
                    <w:t>является учредителем 8 муниципальных бюджетных и 13 муниципальных автономных учреждений. </w:t>
                  </w:r>
                </w:p>
                <w:p w:rsidR="009F54AC" w:rsidRDefault="0059407B">
                  <w:pPr>
                    <w:ind w:firstLine="700"/>
                    <w:jc w:val="both"/>
                  </w:pPr>
                  <w:r>
                    <w:rPr>
                      <w:color w:val="000000"/>
                      <w:sz w:val="28"/>
                      <w:szCs w:val="28"/>
                    </w:rPr>
                    <w:t>По сравнению с 2023 годом количество муниципальных учреждений уменьшилось на 1 в связи с реорганизацией МДОАУ д/с "Родничок" с 01.08.2024 в форме присоединения к МДОАУ  ЦРР д/с "Аленький цветочек" согласно распоряжения администрации от 28.05.2024 №946-ра.</w:t>
                  </w:r>
                </w:p>
                <w:p w:rsidR="009F54AC" w:rsidRDefault="0059407B">
                  <w:pPr>
                    <w:ind w:firstLine="700"/>
                    <w:jc w:val="both"/>
                  </w:pPr>
                  <w:r>
                    <w:rPr>
                      <w:color w:val="000000"/>
                      <w:sz w:val="28"/>
                      <w:szCs w:val="28"/>
                    </w:rPr>
                    <w:t>Отчет по расходам за 2024 год предоставлен учреждениями в соответствии с утвержденной ведомственной структурой расходов городского бюджета. Расходы бюджета проведены в соответствии с Приказом Минфина России от 24.05.2022 N 82н (ред. от 13.11.2024) «О Порядке формирования и применения кодов бюджетной классификации Российской Федерации, их структуре и принципах назначения».</w:t>
                  </w:r>
                </w:p>
              </w:tc>
            </w:tr>
          </w:tbl>
          <w:p w:rsidR="009F54AC" w:rsidRDefault="0059407B">
            <w:pPr>
              <w:jc w:val="both"/>
              <w:rPr>
                <w:color w:val="000000"/>
                <w:sz w:val="28"/>
                <w:szCs w:val="28"/>
              </w:rPr>
            </w:pPr>
            <w:r>
              <w:rPr>
                <w:color w:val="000000"/>
                <w:sz w:val="28"/>
                <w:szCs w:val="28"/>
              </w:rPr>
              <w:lastRenderedPageBreak/>
              <w:t xml:space="preserve"> </w:t>
            </w:r>
          </w:p>
        </w:tc>
      </w:tr>
      <w:tr w:rsidR="009F54AC">
        <w:trPr>
          <w:trHeight w:val="322"/>
        </w:trPr>
        <w:tc>
          <w:tcPr>
            <w:tcW w:w="10314" w:type="dxa"/>
            <w:gridSpan w:val="7"/>
            <w:vMerge w:val="restart"/>
            <w:tcMar>
              <w:top w:w="0" w:type="dxa"/>
              <w:left w:w="0" w:type="dxa"/>
              <w:bottom w:w="0" w:type="dxa"/>
              <w:right w:w="0" w:type="dxa"/>
            </w:tcMar>
          </w:tcPr>
          <w:p w:rsidR="009F54AC" w:rsidRDefault="0059407B">
            <w:pPr>
              <w:jc w:val="center"/>
              <w:rPr>
                <w:b/>
                <w:bCs/>
                <w:color w:val="000000"/>
                <w:sz w:val="28"/>
                <w:szCs w:val="28"/>
              </w:rPr>
            </w:pPr>
            <w:r>
              <w:rPr>
                <w:b/>
                <w:bCs/>
                <w:color w:val="000000"/>
                <w:sz w:val="28"/>
                <w:szCs w:val="28"/>
              </w:rPr>
              <w:lastRenderedPageBreak/>
              <w:t>Раздел 2 «Результаты деятельности субъекта бюджетной отчетности»</w:t>
            </w:r>
          </w:p>
          <w:p w:rsidR="009F54AC" w:rsidRDefault="0059407B">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9F54AC">
              <w:tc>
                <w:tcPr>
                  <w:tcW w:w="10314" w:type="dxa"/>
                  <w:tcMar>
                    <w:top w:w="0" w:type="dxa"/>
                    <w:left w:w="0" w:type="dxa"/>
                    <w:bottom w:w="0" w:type="dxa"/>
                    <w:right w:w="0" w:type="dxa"/>
                  </w:tcMar>
                </w:tcPr>
                <w:p w:rsidR="009F54AC" w:rsidRDefault="0059407B">
                  <w:pPr>
                    <w:ind w:firstLine="700"/>
                    <w:jc w:val="both"/>
                  </w:pPr>
                  <w:r>
                    <w:rPr>
                      <w:b/>
                      <w:bCs/>
                      <w:color w:val="000000"/>
                      <w:sz w:val="28"/>
                      <w:szCs w:val="28"/>
                    </w:rPr>
                    <w:t>Раздел 2. «Результаты деятельности субъекта бюджетной отчетности».</w:t>
                  </w:r>
                </w:p>
                <w:p w:rsidR="009F54AC" w:rsidRDefault="0059407B">
                  <w:pPr>
                    <w:ind w:firstLine="700"/>
                    <w:jc w:val="both"/>
                  </w:pPr>
                  <w:r>
                    <w:rPr>
                      <w:color w:val="000000"/>
                      <w:sz w:val="28"/>
                      <w:szCs w:val="28"/>
                    </w:rPr>
                    <w:t>Бюджет городского округа на 2024 год утвержден решением Думы города о бюджете города Пыть-Яха на 2024 год и плановый период 2025-2026 годы от 11.12.2023 № 221 «О бюджете города Пыть-Яха на 2024 год и на плановый период 2025 и 2026 годов» (в ред. от 08.04.2024 № 252, от 05.08.2024 № 268, от 18.10.2024 № 294, от 21.11.2024 № 303, от 23.12.2024 № 305) (далее – решение о бюджете), основные характеристики которого следующие: </w:t>
                  </w:r>
                </w:p>
                <w:p w:rsidR="009F54AC" w:rsidRDefault="0059407B">
                  <w:pPr>
                    <w:ind w:firstLine="700"/>
                    <w:jc w:val="both"/>
                  </w:pPr>
                  <w:r>
                    <w:rPr>
                      <w:color w:val="000000"/>
                      <w:sz w:val="28"/>
                      <w:szCs w:val="28"/>
                    </w:rPr>
                    <w:t>- общий объем доходов бюджета городского округа в сумме 5 278 178 200,55 рублей, в том числе безвозмездные поступления в сумме 3 091 597 500,55 рублей;</w:t>
                  </w:r>
                </w:p>
                <w:p w:rsidR="009F54AC" w:rsidRDefault="0059407B">
                  <w:pPr>
                    <w:ind w:firstLine="700"/>
                    <w:jc w:val="both"/>
                  </w:pPr>
                  <w:r>
                    <w:rPr>
                      <w:color w:val="000000"/>
                      <w:sz w:val="28"/>
                      <w:szCs w:val="28"/>
                    </w:rPr>
                    <w:t>- общий объем расходов бюджета городского округа в сумме 5 842 385 743,17 рублей;</w:t>
                  </w:r>
                </w:p>
                <w:p w:rsidR="009F54AC" w:rsidRDefault="0059407B">
                  <w:pPr>
                    <w:ind w:firstLine="700"/>
                    <w:jc w:val="both"/>
                  </w:pPr>
                  <w:r>
                    <w:rPr>
                      <w:color w:val="000000"/>
                      <w:sz w:val="28"/>
                      <w:szCs w:val="28"/>
                    </w:rPr>
                    <w:t>- дефицит бюджета городского округа в сумме 564 207 542,62 рублей.</w:t>
                  </w:r>
                </w:p>
                <w:p w:rsidR="009F54AC" w:rsidRDefault="0059407B">
                  <w:pPr>
                    <w:ind w:firstLine="700"/>
                    <w:jc w:val="both"/>
                  </w:pPr>
                  <w:r>
                    <w:rPr>
                      <w:color w:val="000000"/>
                      <w:sz w:val="28"/>
                      <w:szCs w:val="28"/>
                    </w:rPr>
                    <w:t>По состоянию на отчетную дату по основаниям, установленным статьями 217, 232 Бюджетного кодекса Российской Федерации и статьи 6 решения о бюджете, разрешающими вносить изменения в параметры бюджета без внесения изменений в решение о бюджете города, были произведены корректировки основных характеристик бюджета города Пыть-Яха.</w:t>
                  </w:r>
                </w:p>
                <w:p w:rsidR="009F54AC" w:rsidRDefault="0059407B">
                  <w:pPr>
                    <w:ind w:firstLine="700"/>
                    <w:jc w:val="both"/>
                  </w:pPr>
                  <w:r>
                    <w:rPr>
                      <w:color w:val="000000"/>
                      <w:sz w:val="28"/>
                      <w:szCs w:val="28"/>
                    </w:rPr>
                    <w:t>В связи с этим уточненные плановые показатели доходной и расходной части бюджета города на 2024 год по состоянию на 31.12.2024 года (далее – уточненный план на год) составили:</w:t>
                  </w:r>
                </w:p>
                <w:p w:rsidR="009F54AC" w:rsidRDefault="0059407B">
                  <w:pPr>
                    <w:ind w:firstLine="700"/>
                    <w:jc w:val="both"/>
                  </w:pPr>
                  <w:r>
                    <w:rPr>
                      <w:color w:val="000000"/>
                      <w:sz w:val="28"/>
                      <w:szCs w:val="28"/>
                    </w:rPr>
                    <w:t>-        по доходам в сумме 5 352 156 900,55 рублей («+» 73 978 700 рублей);</w:t>
                  </w:r>
                </w:p>
                <w:p w:rsidR="009F54AC" w:rsidRDefault="0059407B">
                  <w:pPr>
                    <w:ind w:firstLine="700"/>
                    <w:jc w:val="both"/>
                  </w:pPr>
                  <w:r>
                    <w:rPr>
                      <w:color w:val="000000"/>
                      <w:sz w:val="28"/>
                      <w:szCs w:val="28"/>
                    </w:rPr>
                    <w:t>-        по расходам в сумме 5 762 707 518,59 рублей («-» 79 678 224,58 рублей).</w:t>
                  </w:r>
                </w:p>
                <w:p w:rsidR="009F54AC" w:rsidRDefault="0059407B">
                  <w:pPr>
                    <w:ind w:firstLine="700"/>
                    <w:jc w:val="both"/>
                  </w:pPr>
                  <w:r>
                    <w:rPr>
                      <w:color w:val="000000"/>
                      <w:sz w:val="28"/>
                      <w:szCs w:val="28"/>
                    </w:rPr>
                    <w:t>Итоги исполнения бюджета города Пыть-Яха за 2024 год характеризуются следующими показателями:</w:t>
                  </w:r>
                </w:p>
                <w:p w:rsidR="009F54AC" w:rsidRDefault="0059407B">
                  <w:pPr>
                    <w:ind w:firstLine="700"/>
                    <w:jc w:val="both"/>
                  </w:pPr>
                  <w:r>
                    <w:rPr>
                      <w:color w:val="000000"/>
                      <w:sz w:val="28"/>
                      <w:szCs w:val="28"/>
                    </w:rPr>
                    <w:t>Доходы исполнены в сумме 5 478 706 441,41 рублей, что составляет 102,4% к уточненному плану на год.</w:t>
                  </w:r>
                </w:p>
                <w:p w:rsidR="009F54AC" w:rsidRDefault="0059407B">
                  <w:pPr>
                    <w:ind w:firstLine="700"/>
                    <w:jc w:val="both"/>
                  </w:pPr>
                  <w:r>
                    <w:rPr>
                      <w:color w:val="000000"/>
                      <w:sz w:val="28"/>
                      <w:szCs w:val="28"/>
                    </w:rPr>
                    <w:t>Расходы исполнены в сумме 5 465 220 492,58 рублей, что составляет 94,85% к уточненному плану на год;</w:t>
                  </w:r>
                </w:p>
                <w:p w:rsidR="009F54AC" w:rsidRDefault="0059407B">
                  <w:pPr>
                    <w:ind w:firstLine="700"/>
                    <w:jc w:val="both"/>
                  </w:pPr>
                  <w:r>
                    <w:rPr>
                      <w:color w:val="000000"/>
                      <w:sz w:val="28"/>
                      <w:szCs w:val="28"/>
                    </w:rPr>
                    <w:t>Профицит бюджета города Пыть-Яха сложился в сумме 13 485 948,83 рублей.</w:t>
                  </w:r>
                </w:p>
                <w:p w:rsidR="009F54AC" w:rsidRDefault="0059407B">
                  <w:pPr>
                    <w:spacing w:before="190" w:after="190"/>
                    <w:jc w:val="both"/>
                  </w:pPr>
                  <w:r>
                    <w:rPr>
                      <w:color w:val="000000"/>
                      <w:sz w:val="28"/>
                      <w:szCs w:val="28"/>
                    </w:rPr>
                    <w:lastRenderedPageBreak/>
                    <w:t>Основные направления налоговой, бюджетной и долговой политики города Пыть-Яха на 2024-2026 годы одобрены распоряжением администрации города от 02.11.2023 № 2122-ра. </w:t>
                  </w:r>
                </w:p>
                <w:p w:rsidR="009F54AC" w:rsidRDefault="0059407B">
                  <w:pPr>
                    <w:spacing w:before="190" w:after="190"/>
                    <w:jc w:val="both"/>
                  </w:pPr>
                  <w:r>
                    <w:rPr>
                      <w:color w:val="000000"/>
                      <w:sz w:val="28"/>
                      <w:szCs w:val="28"/>
                    </w:rPr>
                    <w:t>Основные направления налоговой, бюджетной и долговой политики муниципального образования на 2024-2026 годы разработаны на основе базового варианта сценарных условий прогноза социально-экономического развития муниципального образования городской округ Пыть-Ях на 2024 год и на плановый период 2025 и 2026 годов (далее – прогноз социально-экономического развития), направленных на обеспечение ускорения темпов экономического роста и улучшения демографической ситуации. </w:t>
                  </w:r>
                </w:p>
                <w:p w:rsidR="009F54AC" w:rsidRDefault="0059407B">
                  <w:pPr>
                    <w:ind w:firstLine="700"/>
                    <w:jc w:val="both"/>
                  </w:pPr>
                  <w:r>
                    <w:rPr>
                      <w:color w:val="000000"/>
                      <w:sz w:val="28"/>
                      <w:szCs w:val="28"/>
                    </w:rPr>
                    <w:t>В соответствии с указами и Посланием Президента Российской Федерации в числе главных национальных целей развития: сохранение населения, здоровье и благополучие людей, создание комфортной и безопасной среды для их жизни, а также условий и возможностей для самореализации и раскрытия таланта каждого человека.</w:t>
                  </w:r>
                </w:p>
                <w:p w:rsidR="009F54AC" w:rsidRDefault="0059407B">
                  <w:pPr>
                    <w:ind w:firstLine="700"/>
                    <w:jc w:val="both"/>
                  </w:pPr>
                  <w:r>
                    <w:rPr>
                      <w:color w:val="000000"/>
                      <w:sz w:val="28"/>
                      <w:szCs w:val="28"/>
                    </w:rPr>
                    <w:t>Для достижения указанных целей в приоритетном порядке будут предусмотрены бюджетные ассигнования на выполнение муниципальных программ, а также региональных проектов, интегрированных в государственные программы.</w:t>
                  </w:r>
                </w:p>
                <w:p w:rsidR="009F54AC" w:rsidRDefault="0059407B">
                  <w:pPr>
                    <w:ind w:firstLine="700"/>
                    <w:jc w:val="both"/>
                  </w:pPr>
                  <w:r>
                    <w:rPr>
                      <w:color w:val="000000"/>
                      <w:sz w:val="28"/>
                      <w:szCs w:val="28"/>
                    </w:rPr>
                    <w:t>Муниципальная налоговая политика – составной элемент социально-экономической политики города, который обеспечивает формирование местного бюджета. Акцентами в формировании налоговой политики стали экономические задачи города, направленные на поддержание субъектов малого и среднего предпринимательства, поддержание благоприятного инвестиционного климата на территории города, стимулирование инвестиционной деятельности в части создания условий для реализации инвестиционных проектов в городе Пыть-Яхе. Социальная направленность налоговой политики выражается в поддержке социально незащищенных слоев общества, создания условия для не снижения реальных располагаемых доходов домохозяйств. Обозначенные векторы налоговой политики играют важную роль в восстановлении экономики города и нивелировании последствий экономического спада. </w:t>
                  </w:r>
                </w:p>
                <w:p w:rsidR="009F54AC" w:rsidRDefault="0059407B">
                  <w:pPr>
                    <w:ind w:firstLine="700"/>
                    <w:jc w:val="both"/>
                  </w:pPr>
                  <w:r>
                    <w:rPr>
                      <w:color w:val="000000"/>
                      <w:sz w:val="28"/>
                      <w:szCs w:val="28"/>
                    </w:rPr>
                    <w:t>Достижению целей налоговой политики будет способствовать решение ряда задач:</w:t>
                  </w:r>
                </w:p>
                <w:p w:rsidR="009F54AC" w:rsidRDefault="0059407B">
                  <w:pPr>
                    <w:ind w:firstLine="700"/>
                    <w:jc w:val="both"/>
                  </w:pPr>
                  <w:r>
                    <w:rPr>
                      <w:color w:val="000000"/>
                      <w:sz w:val="28"/>
                      <w:szCs w:val="28"/>
                    </w:rPr>
                    <w:t>- реализация мер, направленных на легализацию предпринимательской деятельности, содействие вовлечению граждан в предпринимательскую деятельность. Продолжение работы по сокращению неформальной занятости путем активизации практики применения налога на профессиональный доход, регистрации граждан в качестве «самозанятых» и вовлечения их в экономику;</w:t>
                  </w:r>
                </w:p>
                <w:p w:rsidR="009F54AC" w:rsidRDefault="0059407B">
                  <w:pPr>
                    <w:ind w:firstLine="700"/>
                    <w:jc w:val="both"/>
                  </w:pPr>
                  <w:r>
                    <w:rPr>
                      <w:color w:val="000000"/>
                      <w:sz w:val="28"/>
                      <w:szCs w:val="28"/>
                    </w:rPr>
                    <w:t>- обеспечение стабильных налоговых условий для ведения предпринимательской деятельности, а также реализации инвестиционных проектов, и систематизация мер поддержки субъектам малого и среднего предпринимательства;</w:t>
                  </w:r>
                </w:p>
                <w:p w:rsidR="009F54AC" w:rsidRDefault="0059407B">
                  <w:pPr>
                    <w:ind w:firstLine="700"/>
                    <w:jc w:val="both"/>
                  </w:pPr>
                  <w:r>
                    <w:rPr>
                      <w:color w:val="000000"/>
                      <w:sz w:val="28"/>
                      <w:szCs w:val="28"/>
                    </w:rPr>
                    <w:t>- соблюдение единых подходов к оценке эффективности налоговых расходов и принятию решений о пролонгации (установлении) налоговых льгот;</w:t>
                  </w:r>
                </w:p>
                <w:p w:rsidR="009F54AC" w:rsidRDefault="0059407B">
                  <w:pPr>
                    <w:ind w:firstLine="700"/>
                    <w:jc w:val="both"/>
                  </w:pPr>
                  <w:r>
                    <w:rPr>
                      <w:color w:val="000000"/>
                      <w:sz w:val="28"/>
                      <w:szCs w:val="28"/>
                    </w:rPr>
                    <w:lastRenderedPageBreak/>
                    <w:t>- проведение мониторинга нормативных правовых актов органов местного самоуправления по местным налогам с целью совершенствования указанных актов с учетом изменений федерального и регионального законодательства;</w:t>
                  </w:r>
                </w:p>
                <w:p w:rsidR="009F54AC" w:rsidRDefault="0059407B">
                  <w:pPr>
                    <w:ind w:firstLine="700"/>
                    <w:jc w:val="both"/>
                  </w:pPr>
                  <w:r>
                    <w:rPr>
                      <w:color w:val="000000"/>
                      <w:sz w:val="28"/>
                      <w:szCs w:val="28"/>
                    </w:rPr>
                    <w:t>- обеспечение полноты формирования налоговой базы для увеличения поступления в бюджет имущественных налогов; </w:t>
                  </w:r>
                </w:p>
                <w:p w:rsidR="009F54AC" w:rsidRDefault="0059407B">
                  <w:pPr>
                    <w:ind w:firstLine="700"/>
                    <w:jc w:val="both"/>
                  </w:pPr>
                  <w:r>
                    <w:rPr>
                      <w:color w:val="000000"/>
                      <w:sz w:val="28"/>
                      <w:szCs w:val="28"/>
                    </w:rPr>
                    <w:t>- укрепление доходной базы бюджета города с учетом изменения параметров налоговой системы;</w:t>
                  </w:r>
                </w:p>
                <w:p w:rsidR="009F54AC" w:rsidRDefault="0059407B">
                  <w:pPr>
                    <w:ind w:firstLine="700"/>
                    <w:jc w:val="both"/>
                  </w:pPr>
                  <w:r>
                    <w:rPr>
                      <w:color w:val="000000"/>
                      <w:sz w:val="28"/>
                      <w:szCs w:val="28"/>
                    </w:rPr>
                    <w:t>- продолжение работы по эффективному межведомственному взаимодействию, целями которого являются повышение уровня собираемости местных налогов, снижение недоимки, достижение высокой степени достоверности информации об объектах налогообложения.</w:t>
                  </w:r>
                </w:p>
                <w:p w:rsidR="009F54AC" w:rsidRDefault="0059407B">
                  <w:pPr>
                    <w:ind w:firstLine="700"/>
                    <w:jc w:val="both"/>
                  </w:pPr>
                  <w:r>
                    <w:rPr>
                      <w:color w:val="000000"/>
                      <w:sz w:val="28"/>
                      <w:szCs w:val="28"/>
                    </w:rPr>
                    <w:t>Сбалансированности и эффективности налоговой политики способствует предоставление льгот, пониженных ставок и налогового вычета, направленных на достижение целей социально-экономической политики муниципального образования, не относящихся к муниципальным программам. Льготы как налоговые расходы с проведением ежегодной процедуры оценки, позволяют сделать обоснованное заключение о целесообразности и результативности затрат бюджета в качестве мер государственной поддержки. </w:t>
                  </w:r>
                </w:p>
                <w:p w:rsidR="009F54AC" w:rsidRDefault="0059407B">
                  <w:pPr>
                    <w:ind w:firstLine="700"/>
                    <w:jc w:val="both"/>
                  </w:pPr>
                  <w:r>
                    <w:rPr>
                      <w:color w:val="000000"/>
                      <w:sz w:val="28"/>
                      <w:szCs w:val="28"/>
                    </w:rPr>
                    <w:t>По результатам проведенной оценки эффективности налоговых расходов за 2023 год, действие налоговых льгот, установленных на территории города Пыть-Яха, продлено. Предоставленные за 2023 год льготы, установленные на территории города, носят социальный характер и направлены на снижение налоговой нагрузки для организаций бюджетной сферы и на социальную поддержку граждан.  </w:t>
                  </w:r>
                </w:p>
                <w:p w:rsidR="009F54AC" w:rsidRDefault="0059407B">
                  <w:pPr>
                    <w:ind w:firstLine="700"/>
                    <w:jc w:val="both"/>
                  </w:pPr>
                  <w:r>
                    <w:rPr>
                      <w:color w:val="000000"/>
                      <w:sz w:val="28"/>
                      <w:szCs w:val="28"/>
                    </w:rPr>
                    <w:t>Своевременные и верные решения, принятые с учетом текущей экономической ситуации, являются важным механизмом обеспечения сохранения финансовой устойчивости субъектов предпринимательской деятельности, обеспечения их деятельности в долгосрочной перспективе, а также сохранения занятости в наиболее пострадавших сферах. </w:t>
                  </w:r>
                </w:p>
                <w:p w:rsidR="009F54AC" w:rsidRDefault="0059407B">
                  <w:pPr>
                    <w:ind w:firstLine="700"/>
                    <w:jc w:val="both"/>
                  </w:pPr>
                  <w:r>
                    <w:rPr>
                      <w:color w:val="000000"/>
                      <w:sz w:val="28"/>
                      <w:szCs w:val="28"/>
                    </w:rPr>
                    <w:t>Основные мероприятия налоговой политики в части налогового стимулирования в предстоящем среднесрочном периоде и характер налоговой политики муниципалитета будет определяться решениями, принимаемыми на федеральном и региональном уровне с учетом изменившихся экономических условий.</w:t>
                  </w:r>
                </w:p>
                <w:p w:rsidR="009F54AC" w:rsidRDefault="0059407B">
                  <w:pPr>
                    <w:ind w:firstLine="700"/>
                    <w:jc w:val="both"/>
                  </w:pPr>
                  <w:r>
                    <w:rPr>
                      <w:color w:val="000000"/>
                      <w:sz w:val="28"/>
                      <w:szCs w:val="28"/>
                    </w:rPr>
                    <w:t>Формирование бюджетной политики муниципального образования городской округ Пыть-Ях на 2024 год и на плановый период 2025 и 2026 годов (далее также – бюджетная политика города Пыть-Яха на 2024-2026 годы) осуществляется на принципах обеспечения устойчивости и сбалансированности бюджетной системы городского округа, в связи с чем бюджетная политика города реализуется через исполнение действующих расходных обязательств, возникших в результате принятых нормативных правовых актов при осуществлении органами местного самоуправления на исполнение полномочий, указанных в статьях 14 и 15 Федерального закона от  06.10.2003 № 131-ФЗ «Об общих      принципах организации местного самоуправления в Российской Федерации».</w:t>
                  </w:r>
                </w:p>
                <w:p w:rsidR="009F54AC" w:rsidRDefault="0059407B">
                  <w:pPr>
                    <w:ind w:firstLine="700"/>
                    <w:jc w:val="both"/>
                  </w:pPr>
                  <w:r>
                    <w:rPr>
                      <w:color w:val="000000"/>
                      <w:sz w:val="28"/>
                      <w:szCs w:val="28"/>
                    </w:rPr>
                    <w:lastRenderedPageBreak/>
                    <w:t>С 1 октября 2024 года проиндексирован на 4% фонд оплаты труда работников муниципальных учреждений, не подпадающих под действие указов Президента Российской Федерации от 2012 года;</w:t>
                  </w:r>
                </w:p>
                <w:p w:rsidR="009F54AC" w:rsidRDefault="0059407B">
                  <w:pPr>
                    <w:ind w:firstLine="700"/>
                    <w:jc w:val="both"/>
                  </w:pPr>
                  <w:r>
                    <w:rPr>
                      <w:color w:val="000000"/>
                      <w:sz w:val="28"/>
                      <w:szCs w:val="28"/>
                    </w:rPr>
                    <w:t>Реализованы решения по обеспечению минимального размера оплаты труда, сохранения достигнутого уровня соотношений в оплате труда отдельных категорий работников, подпадающих под действие указов Президента Российской Федерации, в пределах предусмотренных ассигнований на реализацию соответствующих муниципальных программ города, в том числе за счёт принимаемых решений по повышению эффективности сети и расходов подведомственных муниципальных учреждений, включая увеличение доли расходов автономных и бюджетных учреждений от приносящей доход деятельности.</w:t>
                  </w:r>
                </w:p>
                <w:p w:rsidR="009F54AC" w:rsidRDefault="0059407B">
                  <w:pPr>
                    <w:ind w:firstLine="700"/>
                    <w:jc w:val="both"/>
                  </w:pPr>
                  <w:r>
                    <w:rPr>
                      <w:color w:val="000000"/>
                      <w:sz w:val="28"/>
                      <w:szCs w:val="28"/>
                    </w:rPr>
                    <w:t>Бюджетная политика города в отчетном периоде направлена на:</w:t>
                  </w:r>
                </w:p>
                <w:p w:rsidR="009F54AC" w:rsidRDefault="0059407B">
                  <w:pPr>
                    <w:ind w:firstLine="700"/>
                    <w:jc w:val="both"/>
                  </w:pPr>
                  <w:r>
                    <w:rPr>
                      <w:color w:val="000000"/>
                      <w:sz w:val="28"/>
                      <w:szCs w:val="28"/>
                    </w:rPr>
                    <w:t>- формирование бюджетных параметров исходя из необходимости безусловного исполнения действующих расходных обязательств города;</w:t>
                  </w:r>
                </w:p>
                <w:p w:rsidR="009F54AC" w:rsidRDefault="0059407B">
                  <w:pPr>
                    <w:ind w:firstLine="700"/>
                    <w:jc w:val="both"/>
                  </w:pPr>
                  <w:r>
                    <w:rPr>
                      <w:color w:val="000000"/>
                      <w:sz w:val="28"/>
                      <w:szCs w:val="28"/>
                    </w:rPr>
                    <w:t>- анализ осуществляемых расходных обязательств муниципального образования в целях исключения направления средств на выполнение полномочий, не отнесенных к полномочиям города, принятие новых расходных обязательств только при условии оценки их эффективности, соответствия их приоритетным направлениям социально-экономического развития и при условии наличия ресурсов для их гарантированного исполнения в целях снижения риска неисполнения (либо исполнения в неполном объеме) действующих расходных обязательств городского округа;</w:t>
                  </w:r>
                </w:p>
                <w:p w:rsidR="009F54AC" w:rsidRDefault="0059407B">
                  <w:pPr>
                    <w:ind w:firstLine="700"/>
                    <w:jc w:val="both"/>
                  </w:pPr>
                  <w:r>
                    <w:rPr>
                      <w:color w:val="000000"/>
                      <w:sz w:val="28"/>
                      <w:szCs w:val="28"/>
                    </w:rPr>
                    <w:t>- продолжение работы по совершенствованию нормативной правовой базы для привлечения к оказанию муниципальных услуг негосударственных организаций с внедрением конкурентных способов отбора исполнителей услуг;</w:t>
                  </w:r>
                </w:p>
                <w:p w:rsidR="009F54AC" w:rsidRDefault="0059407B">
                  <w:pPr>
                    <w:ind w:firstLine="700"/>
                    <w:jc w:val="both"/>
                  </w:pPr>
                  <w:r>
                    <w:rPr>
                      <w:color w:val="000000"/>
                      <w:sz w:val="28"/>
                      <w:szCs w:val="28"/>
                    </w:rPr>
                    <w:t>- планирование в приоритетном порядке бюджетных ассигнований на реализацию национальных проектов (программ) развития Российской Федерации и региональных проектов, входящих в состав национальных проектов (программ);</w:t>
                  </w:r>
                </w:p>
                <w:p w:rsidR="009F54AC" w:rsidRDefault="0059407B">
                  <w:pPr>
                    <w:ind w:firstLine="700"/>
                    <w:jc w:val="both"/>
                  </w:pPr>
                  <w:r>
                    <w:rPr>
                      <w:color w:val="000000"/>
                      <w:sz w:val="28"/>
                      <w:szCs w:val="28"/>
                    </w:rPr>
                    <w:t>- осуществление работы, направленной на привлечение средств вышестоящих бюджетов на решение вопросов местного значения в целях сокращения нагрузки на бюджет городского округа, в том числе путем участия в федеральных или региональных проектах и программах, а также выполнение условий софинансирования к средствам вышестоящих бюджетов; </w:t>
                  </w:r>
                </w:p>
                <w:p w:rsidR="009F54AC" w:rsidRDefault="0059407B">
                  <w:pPr>
                    <w:ind w:firstLine="700"/>
                    <w:jc w:val="both"/>
                  </w:pPr>
                  <w:r>
                    <w:rPr>
                      <w:color w:val="000000"/>
                      <w:sz w:val="28"/>
                      <w:szCs w:val="28"/>
                    </w:rPr>
                    <w:t>- недопущение увеличения штатной численности работников бюджетной сферы и органов местного самоуправления, за исключением случаев, когда увеличение необходимо для реализации переданных в соответствии с законодательством государственных полномочий;</w:t>
                  </w:r>
                </w:p>
                <w:p w:rsidR="009F54AC" w:rsidRDefault="0059407B">
                  <w:pPr>
                    <w:ind w:firstLine="700"/>
                    <w:jc w:val="both"/>
                  </w:pPr>
                  <w:r>
                    <w:rPr>
                      <w:color w:val="000000"/>
                      <w:sz w:val="28"/>
                      <w:szCs w:val="28"/>
                    </w:rPr>
                    <w:t>- привлечение внебюджетных источников для финансового обеспечения деятельности учреждений социально-культурной сферы;</w:t>
                  </w:r>
                </w:p>
                <w:p w:rsidR="009F54AC" w:rsidRDefault="0059407B">
                  <w:pPr>
                    <w:ind w:firstLine="700"/>
                    <w:jc w:val="both"/>
                  </w:pPr>
                  <w:r>
                    <w:rPr>
                      <w:color w:val="000000"/>
                      <w:sz w:val="28"/>
                      <w:szCs w:val="28"/>
                    </w:rPr>
                    <w:t>- повышение эффективности деятельности муниципальных учреждений и недопущение функционирования неэффективных или недостаточно загруженных муниципальных учреждений;</w:t>
                  </w:r>
                </w:p>
                <w:p w:rsidR="009F54AC" w:rsidRDefault="0059407B">
                  <w:pPr>
                    <w:ind w:firstLine="700"/>
                    <w:jc w:val="both"/>
                  </w:pPr>
                  <w:r>
                    <w:rPr>
                      <w:color w:val="000000"/>
                      <w:sz w:val="28"/>
                      <w:szCs w:val="28"/>
                    </w:rPr>
                    <w:t>- реализацию режима экономии электро- и теплоэнергии, расходных материалов, горюче-смазочных материалов, услуг связи;</w:t>
                  </w:r>
                </w:p>
                <w:p w:rsidR="009F54AC" w:rsidRDefault="0059407B">
                  <w:pPr>
                    <w:ind w:firstLine="700"/>
                    <w:jc w:val="both"/>
                  </w:pPr>
                  <w:r>
                    <w:rPr>
                      <w:color w:val="000000"/>
                      <w:sz w:val="28"/>
                      <w:szCs w:val="28"/>
                    </w:rPr>
                    <w:lastRenderedPageBreak/>
                    <w:t>- 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обеспечения контроля обоснованности закупок, начальных (максимальных) цен контрактов, а также проведения централизованных закупок;</w:t>
                  </w:r>
                </w:p>
                <w:p w:rsidR="009F54AC" w:rsidRDefault="0059407B">
                  <w:pPr>
                    <w:ind w:firstLine="700"/>
                    <w:jc w:val="both"/>
                  </w:pPr>
                  <w:r>
                    <w:rPr>
                      <w:color w:val="000000"/>
                      <w:sz w:val="28"/>
                      <w:szCs w:val="28"/>
                    </w:rPr>
                    <w:t>- недопущение кредиторской задолженности по заработной плате работникам бюджетной сферы и социальным выплатам;</w:t>
                  </w:r>
                </w:p>
                <w:p w:rsidR="009F54AC" w:rsidRDefault="0059407B">
                  <w:pPr>
                    <w:ind w:firstLine="700"/>
                    <w:jc w:val="both"/>
                  </w:pPr>
                  <w:r>
                    <w:rPr>
                      <w:color w:val="000000"/>
                      <w:sz w:val="28"/>
                      <w:szCs w:val="28"/>
                    </w:rPr>
                    <w:t>- направление бюджетных средств в приоритетном порядке на погашение кредиторской задолженности;</w:t>
                  </w:r>
                </w:p>
                <w:p w:rsidR="009F54AC" w:rsidRDefault="0059407B">
                  <w:pPr>
                    <w:ind w:firstLine="700"/>
                    <w:jc w:val="both"/>
                  </w:pPr>
                  <w:r>
                    <w:rPr>
                      <w:color w:val="000000"/>
                      <w:sz w:val="28"/>
                      <w:szCs w:val="28"/>
                    </w:rPr>
                    <w:t>- совершенствование системы внутреннего финансового контроля и внутреннего финансового аудита; </w:t>
                  </w:r>
                </w:p>
                <w:p w:rsidR="009F54AC" w:rsidRDefault="0059407B">
                  <w:pPr>
                    <w:ind w:firstLine="700"/>
                    <w:jc w:val="both"/>
                  </w:pPr>
                  <w:r>
                    <w:rPr>
                      <w:color w:val="000000"/>
                      <w:sz w:val="28"/>
                      <w:szCs w:val="28"/>
                    </w:rPr>
                    <w:t>- повышение информационной открытости бюджетного процесса городского округа.</w:t>
                  </w:r>
                </w:p>
                <w:p w:rsidR="009F54AC" w:rsidRDefault="0059407B">
                  <w:pPr>
                    <w:ind w:firstLine="700"/>
                    <w:jc w:val="both"/>
                  </w:pPr>
                  <w:r>
                    <w:rPr>
                      <w:color w:val="000000"/>
                      <w:sz w:val="28"/>
                      <w:szCs w:val="28"/>
                    </w:rPr>
                    <w:t>Начиная с 2015 года, доля расходов бюджета города, формируемых на основе муниципальных программ, составляет более 95%.</w:t>
                  </w:r>
                </w:p>
                <w:p w:rsidR="009F54AC" w:rsidRDefault="0059407B">
                  <w:pPr>
                    <w:ind w:firstLine="700"/>
                    <w:jc w:val="both"/>
                  </w:pPr>
                  <w:r>
                    <w:rPr>
                      <w:color w:val="000000"/>
                      <w:sz w:val="28"/>
                      <w:szCs w:val="28"/>
                    </w:rPr>
                    <w:t>Установленные целевые показатели позволяют эффективно и своевременно оценивать достижение поставленных целей и задач по итогам реализации муниципальных программ. За отчетный период в рамках утвержденных муниципальных программ бюджет города исполнен в сумме 5 414 543 654,00 рублей, что составляет 99,1% от общей суммы расходов городского бюджета.</w:t>
                  </w:r>
                </w:p>
                <w:p w:rsidR="009F54AC" w:rsidRDefault="0059407B">
                  <w:pPr>
                    <w:ind w:firstLine="700"/>
                    <w:jc w:val="both"/>
                  </w:pPr>
                  <w:r>
                    <w:rPr>
                      <w:color w:val="000000"/>
                      <w:sz w:val="28"/>
                      <w:szCs w:val="28"/>
                    </w:rPr>
                    <w:t>Для решения задачи по повышению эффективности муниципальных услуг в городском округе продолжается работа, направленная на рациональное и экономное использование бюджетных средств. В целях создания условий повышения эффективности деятельности муниципальных учреждений в 2024 году продолжена работа по обеспечению взаимосвязи основных мероприятий муниципальных программ и муниципальных заданий на оказание муниципальных услуг (выполнение работ) бюджетными и автономными учреждениями.</w:t>
                  </w:r>
                </w:p>
                <w:p w:rsidR="009F54AC" w:rsidRDefault="0059407B">
                  <w:pPr>
                    <w:ind w:firstLine="700"/>
                    <w:jc w:val="both"/>
                  </w:pPr>
                  <w:r>
                    <w:rPr>
                      <w:color w:val="000000"/>
                      <w:sz w:val="28"/>
                      <w:szCs w:val="28"/>
                    </w:rPr>
                    <w:t>Профицит бюджета города Пыть-Яха по итогам исполнение за 2024 год составил 13 485 948,83 рублей.</w:t>
                  </w:r>
                </w:p>
                <w:p w:rsidR="009F54AC" w:rsidRDefault="0059407B">
                  <w:pPr>
                    <w:ind w:firstLine="700"/>
                    <w:jc w:val="both"/>
                  </w:pPr>
                  <w:r>
                    <w:rPr>
                      <w:color w:val="000000"/>
                      <w:sz w:val="28"/>
                      <w:szCs w:val="28"/>
                    </w:rPr>
                    <w:t>Долговая политика на 2024 год и на плановый период 2025 и 2026 годов определяет основные направления деятельности по управлению муниципальным долгом:</w:t>
                  </w:r>
                </w:p>
                <w:p w:rsidR="009F54AC" w:rsidRDefault="0059407B">
                  <w:pPr>
                    <w:ind w:firstLine="700"/>
                    <w:jc w:val="both"/>
                  </w:pPr>
                  <w:r>
                    <w:rPr>
                      <w:color w:val="000000"/>
                      <w:sz w:val="28"/>
                      <w:szCs w:val="28"/>
                    </w:rPr>
                    <w:t>- поддержание объема муниципального долга города на экономически безопасном уровне;</w:t>
                  </w:r>
                </w:p>
                <w:p w:rsidR="009F54AC" w:rsidRDefault="0059407B">
                  <w:pPr>
                    <w:ind w:firstLine="700"/>
                    <w:jc w:val="both"/>
                  </w:pPr>
                  <w:r>
                    <w:rPr>
                      <w:color w:val="000000"/>
                      <w:sz w:val="28"/>
                      <w:szCs w:val="28"/>
                    </w:rPr>
                    <w:t>- выполнение принятых обязательств в полном объеме;</w:t>
                  </w:r>
                </w:p>
                <w:p w:rsidR="009F54AC" w:rsidRDefault="0059407B">
                  <w:pPr>
                    <w:ind w:firstLine="700"/>
                    <w:jc w:val="both"/>
                  </w:pPr>
                  <w:r>
                    <w:rPr>
                      <w:color w:val="000000"/>
                      <w:sz w:val="28"/>
                      <w:szCs w:val="28"/>
                    </w:rPr>
                    <w:t>- обеспечение взаимосвязи принятия решения о заимствованиях с реальными потребностями бюджета городского округа в привлечении заемных средств;</w:t>
                  </w:r>
                </w:p>
                <w:p w:rsidR="009F54AC" w:rsidRDefault="0059407B">
                  <w:pPr>
                    <w:ind w:firstLine="700"/>
                    <w:jc w:val="both"/>
                  </w:pPr>
                  <w:r>
                    <w:rPr>
                      <w:color w:val="000000"/>
                      <w:sz w:val="28"/>
                      <w:szCs w:val="28"/>
                    </w:rPr>
                    <w:t>- сохранение благоприятной кредитной истории муниципального образования как надежного заемщика, безупречно и своевременно выполняющего свои финансовые обязательства, что создает предпосылки для снижения стоимости заимствований и улучшения структуры долга.</w:t>
                  </w:r>
                </w:p>
                <w:p w:rsidR="009F54AC" w:rsidRDefault="0059407B">
                  <w:pPr>
                    <w:ind w:firstLine="700"/>
                    <w:jc w:val="both"/>
                  </w:pPr>
                  <w:r>
                    <w:rPr>
                      <w:color w:val="000000"/>
                      <w:sz w:val="28"/>
                      <w:szCs w:val="28"/>
                    </w:rPr>
                    <w:lastRenderedPageBreak/>
                    <w:t>По состоянию на 01.01.2025 года объем муниципального долга составляет 55 555 520,00 рублей, по отношению к 2023 году объем муниципального долга уменьшился на 103 333 360,00 рублей.</w:t>
                  </w:r>
                </w:p>
                <w:p w:rsidR="009F54AC" w:rsidRDefault="0059407B">
                  <w:pPr>
                    <w:spacing w:after="100"/>
                    <w:ind w:firstLine="700"/>
                    <w:jc w:val="both"/>
                  </w:pPr>
                  <w:r>
                    <w:rPr>
                      <w:color w:val="000000"/>
                      <w:sz w:val="28"/>
                      <w:szCs w:val="28"/>
                    </w:rPr>
                    <w:t>В целях реализации решения Думы от 11.12.2023 № 221 «О бюджете города Пыть-Яха на 2024 год и на плановый период 2025 и 2026 годов» (в ред. от 23.12.2024 № 305), активизации работы по мобилизации доходов в бюджет муниципального образования города Пыть-Яха,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2024 год и на плановый период 2025 и 2026 годов, утвержденный распоряжением администрации города от 23.01.2024 № 77-ра «О мерах по обеспечению исполнения бюджета города Пыть-Яха» (в ред. от 29.02.2024 № 342-ра, от 23.05.2024 № 885-ра, от 20.06.2024 №1136-ра, от 18.09.2024 №1751-ра, от 25.12.2024 №2594-ра).</w:t>
                  </w:r>
                  <w:r>
                    <w:rPr>
                      <w:color w:val="FF0000"/>
                      <w:sz w:val="28"/>
                      <w:szCs w:val="28"/>
                    </w:rPr>
                    <w:t> </w:t>
                  </w:r>
                  <w:r>
                    <w:rPr>
                      <w:color w:val="000000"/>
                      <w:sz w:val="28"/>
                      <w:szCs w:val="28"/>
                    </w:rPr>
                    <w:t>Планируемый бюджетный эффект на 2024 год составляет 153 166,0 тыс. рублей или 4,5% от собственных доходов (без дополнительного норматива и субвенций) по уточнённому плану, из них по доходам в сумме 62 402,5 тыс. рублей, по расходам 90 763,5 тыс. рублей.</w:t>
                  </w:r>
                </w:p>
                <w:p w:rsidR="009F54AC" w:rsidRDefault="0059407B">
                  <w:pPr>
                    <w:spacing w:after="100"/>
                    <w:ind w:firstLine="700"/>
                    <w:jc w:val="both"/>
                  </w:pPr>
                  <w:r>
                    <w:rPr>
                      <w:color w:val="000000"/>
                      <w:sz w:val="28"/>
                      <w:szCs w:val="28"/>
                    </w:rPr>
                    <w:t>Мероприятия по росту доходов бюджета муниципального образования за 2024 год исполнены в сумме 69 641,7 тыс. рублей, что составляет 111,6% к плану на 2024 год.</w:t>
                  </w:r>
                </w:p>
                <w:p w:rsidR="009F54AC" w:rsidRDefault="0059407B">
                  <w:pPr>
                    <w:spacing w:after="100"/>
                    <w:ind w:firstLine="700"/>
                    <w:jc w:val="both"/>
                  </w:pPr>
                  <w:r>
                    <w:rPr>
                      <w:color w:val="000000"/>
                      <w:sz w:val="28"/>
                      <w:szCs w:val="28"/>
                    </w:rPr>
                    <w:t>За 2024 год проведены следующие мероприятия по привлечению дополнительных доходов в бюджет муниципального образования:</w:t>
                  </w:r>
                </w:p>
                <w:p w:rsidR="009F54AC" w:rsidRDefault="0059407B">
                  <w:pPr>
                    <w:spacing w:after="100"/>
                    <w:ind w:firstLine="700"/>
                    <w:jc w:val="both"/>
                  </w:pPr>
                  <w:r>
                    <w:rPr>
                      <w:color w:val="000000"/>
                      <w:sz w:val="28"/>
                      <w:szCs w:val="28"/>
                    </w:rPr>
                    <w:t>- привлечение средств в бюджет города от дополнительно реализованного муниципального имущества на сумму 3 225,0 тыс. рублей (автоэвакуатор и снегопогрузчик).</w:t>
                  </w:r>
                </w:p>
                <w:p w:rsidR="009F54AC" w:rsidRDefault="0059407B">
                  <w:pPr>
                    <w:spacing w:after="100"/>
                    <w:ind w:firstLine="700"/>
                    <w:jc w:val="both"/>
                  </w:pPr>
                  <w:r>
                    <w:rPr>
                      <w:color w:val="000000"/>
                      <w:sz w:val="28"/>
                      <w:szCs w:val="28"/>
                    </w:rPr>
                    <w:t>- реализовали свое право на выкуп жилых помещений 46 граждан, ранее занимаемых по договорам найма жилищного фонда коммерческого использования на сумму 7 460,3, тыс. рублей;</w:t>
                  </w:r>
                </w:p>
                <w:p w:rsidR="009F54AC" w:rsidRDefault="0059407B">
                  <w:pPr>
                    <w:spacing w:after="100"/>
                    <w:ind w:firstLine="700"/>
                    <w:jc w:val="both"/>
                  </w:pPr>
                  <w:r>
                    <w:rPr>
                      <w:color w:val="000000"/>
                      <w:sz w:val="28"/>
                      <w:szCs w:val="28"/>
                    </w:rPr>
                    <w:t>- в рамках принятия мер по урегулированию и взысканию задолженности по платежам в бюджет: </w:t>
                  </w:r>
                </w:p>
                <w:p w:rsidR="009F54AC" w:rsidRDefault="0059407B">
                  <w:pPr>
                    <w:spacing w:after="100"/>
                    <w:ind w:firstLine="700"/>
                    <w:jc w:val="both"/>
                  </w:pPr>
                  <w:r>
                    <w:rPr>
                      <w:color w:val="000000"/>
                      <w:sz w:val="28"/>
                      <w:szCs w:val="28"/>
                    </w:rPr>
                    <w:t>по земельным отношениям: выставлено 107 претензий на сумму 72 964,7 тыс. рублей, оплачено по претензиям на сумму 28 167,2 тыс. рублей, направлено в правовой для подачи исков в суд 48 дел на сумму 25 805,9 тыс. рублей, вынесено 59 решений суда на сумму 13 099,1 тыс. рублей, поступило по решениям суда на сумму 9 807,8 тыс. рублей.  Пени 4 246,0 тыс. рублей. </w:t>
                  </w:r>
                </w:p>
                <w:p w:rsidR="009F54AC" w:rsidRDefault="0059407B">
                  <w:pPr>
                    <w:spacing w:after="100"/>
                    <w:ind w:firstLine="700"/>
                    <w:jc w:val="both"/>
                  </w:pPr>
                  <w:r>
                    <w:rPr>
                      <w:color w:val="000000"/>
                      <w:sz w:val="28"/>
                      <w:szCs w:val="28"/>
                    </w:rPr>
                    <w:t xml:space="preserve">по имущественным отношениям: по состоянию на 01.01.2025 по аренде (коммерческому найму) муниципального имущества - сформировано 186 пакетов документов для подачи исковых заявлений о взыскании задолженности на сумму 5 021,2 тыс. рублей, из них взыскано (поступило) 2 642,1 тыс. рублей, в том числе пени 110,3 рублей. По выкупу, мене квартир - сформировано 18 пакетов документов для </w:t>
                  </w:r>
                  <w:r>
                    <w:rPr>
                      <w:color w:val="000000"/>
                      <w:sz w:val="28"/>
                      <w:szCs w:val="28"/>
                    </w:rPr>
                    <w:lastRenderedPageBreak/>
                    <w:t>подачи исковых заявлений о взыскании задолженности на сумму 11 770,4 тыс. рублей, из них взыскано (поступило) 4 972,0 тыс. рублей, в том числе пени 59,7 тыс. рублей.                                                                                                                 - в рамках осуществления контроля за исполнением поставщиками (подрядчиками, исполнителями) обязательств, предусмотренных муниципальными контрактами, сумма взысканных требований составила 2 395,8 тыс. рублей;</w:t>
                  </w:r>
                </w:p>
                <w:p w:rsidR="009F54AC" w:rsidRDefault="0059407B">
                  <w:pPr>
                    <w:spacing w:after="100"/>
                    <w:ind w:firstLine="700"/>
                    <w:jc w:val="both"/>
                  </w:pPr>
                  <w:r>
                    <w:rPr>
                      <w:color w:val="000000"/>
                      <w:sz w:val="28"/>
                      <w:szCs w:val="28"/>
                    </w:rPr>
                    <w:t>- недоимка по налогу на имущество физических лиц и земельному налогу поступила в сумме 6 555,5 тыс. рублей в результате работы с должниками (по НИФЛ - 4 844,0 тыс. рублей и по земельному налогу - 1 711,5 тыс.рублей). </w:t>
                  </w:r>
                </w:p>
                <w:p w:rsidR="009F54AC" w:rsidRDefault="0059407B">
                  <w:pPr>
                    <w:spacing w:after="100"/>
                    <w:ind w:firstLine="700"/>
                    <w:jc w:val="both"/>
                  </w:pPr>
                  <w:r>
                    <w:rPr>
                      <w:color w:val="000000"/>
                      <w:sz w:val="28"/>
                      <w:szCs w:val="28"/>
                    </w:rPr>
                    <w:t>Запланированные мероприятия по оптимизации расходов бюджета муниципального образования по состоянию на 2024 год исполнены на 106 % к году и бюджетный эффект составил 96 073,1 тыс. рублей, в том числе:</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В рамках мероприятия по привлечению к оказанию муниципальных услуг </w:t>
                        </w:r>
                      </w:p>
                    </w:tc>
                  </w:tr>
                </w:tbl>
                <w:p w:rsidR="009F54AC" w:rsidRDefault="0059407B">
                  <w:pPr>
                    <w:spacing w:after="100"/>
                    <w:jc w:val="both"/>
                  </w:pPr>
                  <w:r>
                    <w:rPr>
                      <w:color w:val="000000"/>
                      <w:sz w:val="28"/>
                      <w:szCs w:val="28"/>
                    </w:rPr>
                    <w:t>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Пыть-Яха субсидии Пыть-Яхской городской организации "Всероссийское общество инвалидов" на реализацию проекта "Доброе дело" на сумму 1 989,7 тыс.рублей, с городской общественной организацией ветеранов войны, труда, ВС и ПО на сумму 317,2 тыс.рублей, c ООВ локальных конфликтов и вооруженных сил города Пыть-Яха "Побратимы" на сумму 219,6 тыс.рублей, с АНО «Центр боевых искусств «Рекорд» на сумму 271,6 тыс.рублей. В сфере молодежной политики с Пыть-Яхской местной городской молодежной организацией "Активист" заключены договора № 01 сумму 1 361,0 тыс.рублей на обеспечение деятельности ресурсного центра по поддержке волонтерского движения и № 02 для реализации проекта "Наше время" на сумму 4 440,0 тыс.рублей. Исполнение составило 100% от плановых назначений;                                                                                                                                                                                                                                                                                                                                                                                                 </w:t>
                  </w:r>
                </w:p>
                <w:p w:rsidR="009F54AC" w:rsidRDefault="0059407B">
                  <w:pPr>
                    <w:spacing w:after="100"/>
                    <w:ind w:firstLine="560"/>
                    <w:jc w:val="both"/>
                  </w:pPr>
                  <w:r>
                    <w:rPr>
                      <w:color w:val="000000"/>
                      <w:sz w:val="28"/>
                      <w:szCs w:val="28"/>
                    </w:rPr>
                    <w:t>- Привлечение внебюджетных источников для финансового обеспечения деятельности учреждений социально – культурной сферы за 2024 год исполнено на сумму 45 008,9 тыс.рублей или на 112,6% от плана;</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Бюджетный эффект от заключения трех энергосервисных контрактов за текущий 2024 год составил 328,4 тыс. рублей или 134,6% от плана;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42 136,7 тыс.рублей, средства перераспределены в целях наиболее эффективного использования.</w:t>
                        </w:r>
                      </w:p>
                    </w:tc>
                  </w:tr>
                </w:tbl>
                <w:p w:rsidR="009F54AC" w:rsidRDefault="0059407B">
                  <w:pPr>
                    <w:jc w:val="both"/>
                  </w:pPr>
                  <w:r>
                    <w:rPr>
                      <w:color w:val="000000"/>
                      <w:sz w:val="28"/>
                      <w:szCs w:val="28"/>
                    </w:rPr>
                    <w:t>           Мероприятия по сокращению муниципального долга и расходов на его </w:t>
                  </w:r>
                </w:p>
                <w:p w:rsidR="009F54AC" w:rsidRDefault="0059407B">
                  <w:pPr>
                    <w:jc w:val="both"/>
                  </w:pPr>
                  <w:r>
                    <w:rPr>
                      <w:color w:val="000000"/>
                      <w:sz w:val="28"/>
                      <w:szCs w:val="28"/>
                    </w:rPr>
                    <w:t>обслуживание: </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За отчетный период погашение муниципального долга составило 103 333,36 тыс. рублей (погашение основного долга по внутренним заимствованиям).</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9F54AC" w:rsidRDefault="0059407B">
                        <w:pPr>
                          <w:jc w:val="both"/>
                        </w:pPr>
                        <w:r>
                          <w:rPr>
                            <w:color w:val="000000"/>
                            <w:sz w:val="28"/>
                            <w:szCs w:val="28"/>
                          </w:rPr>
                          <w:t>Расходы на обслуживание муниципального долга по состоянию на 01.01.2025 </w:t>
                        </w:r>
                      </w:p>
                    </w:tc>
                  </w:tr>
                </w:tbl>
                <w:p w:rsidR="009F54AC" w:rsidRDefault="0059407B">
                  <w:pPr>
                    <w:jc w:val="both"/>
                  </w:pPr>
                  <w:r>
                    <w:rPr>
                      <w:color w:val="000000"/>
                      <w:sz w:val="28"/>
                      <w:szCs w:val="28"/>
                    </w:rPr>
                    <w:t>года составили 293,14 тыс. рублей.</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Муниципальный долг по состоянию на 1 января 2025 года составил 55 555,52 </w:t>
                        </w:r>
                      </w:p>
                    </w:tc>
                  </w:tr>
                </w:tbl>
                <w:p w:rsidR="009F54AC" w:rsidRDefault="0059407B">
                  <w:pPr>
                    <w:jc w:val="both"/>
                  </w:pPr>
                  <w:r>
                    <w:rPr>
                      <w:color w:val="000000"/>
                      <w:sz w:val="28"/>
                      <w:szCs w:val="28"/>
                    </w:rPr>
                    <w:t>тыс. рублей.</w:t>
                  </w:r>
                </w:p>
                <w:p w:rsidR="009F54AC" w:rsidRDefault="0059407B">
                  <w:pPr>
                    <w:ind w:firstLine="700"/>
                    <w:jc w:val="both"/>
                  </w:pPr>
                  <w:r>
                    <w:rPr>
                      <w:color w:val="000000"/>
                      <w:sz w:val="28"/>
                      <w:szCs w:val="28"/>
                    </w:rPr>
                    <w:t>Бюджетный эффект по итогам 2024 года составил 165 714,8 тыс. рублей или 7,1% к исполнению собственных доходов муниципального образования, из них по доходам 69 641,7 тыс. рублей, по расходам 96 073,1 тыс. рублей. </w:t>
                  </w:r>
                </w:p>
                <w:p w:rsidR="009F54AC" w:rsidRDefault="0059407B">
                  <w:pPr>
                    <w:ind w:firstLine="700"/>
                    <w:jc w:val="both"/>
                  </w:pPr>
                  <w:r>
                    <w:rPr>
                      <w:color w:val="000000"/>
                      <w:sz w:val="28"/>
                      <w:szCs w:val="28"/>
                    </w:rPr>
                    <w:t>Для успешной реализации механизмов общественного участия и контроля, информирования широких кругов населения о формировании и исполнении бюджета города Пыть-Яха в течение года проводилась работа по обеспечению открытости бюджетного процесса. </w:t>
                  </w:r>
                </w:p>
                <w:p w:rsidR="009F54AC" w:rsidRDefault="0059407B">
                  <w:pPr>
                    <w:ind w:firstLine="700"/>
                    <w:jc w:val="both"/>
                  </w:pPr>
                  <w:r>
                    <w:rPr>
                      <w:color w:val="000000"/>
                      <w:sz w:val="28"/>
                      <w:szCs w:val="28"/>
                    </w:rPr>
                    <w:t>Информация о стадиях бюджетного процесса, о плановых показателях бюджета города и его исполнении размещается на официальном сайте администрации города Пыть-Яха. Для горожан, не обладающих специальными знаниями в финансово-бюджетной сфере, информация размещается в доступной форме в виде информационного материала «Бюджет для граждан». Также в отчетном году проведено заседание Общественного совета города с участием финансового органа.</w:t>
                  </w:r>
                </w:p>
                <w:p w:rsidR="009F54AC" w:rsidRDefault="0059407B">
                  <w:pPr>
                    <w:ind w:firstLine="700"/>
                    <w:jc w:val="both"/>
                  </w:pPr>
                  <w:r>
                    <w:rPr>
                      <w:color w:val="000000"/>
                      <w:sz w:val="28"/>
                      <w:szCs w:val="28"/>
                    </w:rPr>
                    <w:t>В 2024 году муниципальное образование город Пыть-Ях участвует в реализации 4 национальных проектах Российской Федерации, а также 7 региональных проектах Ханты-Мансийского автономного округа – Югры, реализуемых для достижения национальных целей развития.</w:t>
                  </w:r>
                </w:p>
              </w:tc>
            </w:tr>
          </w:tbl>
          <w:p w:rsidR="009F54AC" w:rsidRDefault="0059407B">
            <w:pPr>
              <w:jc w:val="both"/>
              <w:rPr>
                <w:color w:val="000000"/>
                <w:sz w:val="28"/>
                <w:szCs w:val="28"/>
              </w:rPr>
            </w:pPr>
            <w:r>
              <w:rPr>
                <w:color w:val="000000"/>
                <w:sz w:val="28"/>
                <w:szCs w:val="28"/>
              </w:rPr>
              <w:lastRenderedPageBreak/>
              <w:t xml:space="preserve"> </w:t>
            </w:r>
          </w:p>
        </w:tc>
      </w:tr>
      <w:tr w:rsidR="009F54AC">
        <w:trPr>
          <w:trHeight w:val="322"/>
        </w:trPr>
        <w:tc>
          <w:tcPr>
            <w:tcW w:w="10314" w:type="dxa"/>
            <w:gridSpan w:val="7"/>
            <w:vMerge w:val="restart"/>
            <w:tcMar>
              <w:top w:w="0" w:type="dxa"/>
              <w:left w:w="0" w:type="dxa"/>
              <w:bottom w:w="0" w:type="dxa"/>
              <w:right w:w="0" w:type="dxa"/>
            </w:tcMar>
          </w:tcPr>
          <w:p w:rsidR="009F54AC" w:rsidRDefault="0059407B">
            <w:pPr>
              <w:jc w:val="center"/>
              <w:rPr>
                <w:b/>
                <w:bCs/>
                <w:color w:val="000000"/>
                <w:sz w:val="28"/>
                <w:szCs w:val="28"/>
              </w:rPr>
            </w:pPr>
            <w:r>
              <w:rPr>
                <w:b/>
                <w:bCs/>
                <w:color w:val="000000"/>
                <w:sz w:val="28"/>
                <w:szCs w:val="28"/>
              </w:rPr>
              <w:lastRenderedPageBreak/>
              <w:t>Раздел 3 «Анализ отчета об исполнении бюджета субъектом бюджетной отчетности»</w:t>
            </w:r>
          </w:p>
          <w:p w:rsidR="009F54AC" w:rsidRDefault="0059407B">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9F54AC">
              <w:tc>
                <w:tcPr>
                  <w:tcW w:w="10314" w:type="dxa"/>
                  <w:tcMar>
                    <w:top w:w="0" w:type="dxa"/>
                    <w:left w:w="0" w:type="dxa"/>
                    <w:bottom w:w="0" w:type="dxa"/>
                    <w:right w:w="0" w:type="dxa"/>
                  </w:tcMar>
                </w:tcPr>
                <w:p w:rsidR="009F54AC" w:rsidRDefault="0059407B">
                  <w:pPr>
                    <w:ind w:firstLine="700"/>
                    <w:jc w:val="both"/>
                  </w:pPr>
                  <w:r>
                    <w:rPr>
                      <w:b/>
                      <w:bCs/>
                      <w:color w:val="000000"/>
                      <w:sz w:val="28"/>
                      <w:szCs w:val="28"/>
                    </w:rPr>
                    <w:t>Раздел 3. Анализ отчёта об исполнении бюджета города Пыть-Яха</w:t>
                  </w:r>
                </w:p>
                <w:p w:rsidR="009F54AC" w:rsidRDefault="0059407B">
                  <w:pPr>
                    <w:ind w:firstLine="700"/>
                    <w:jc w:val="both"/>
                  </w:pPr>
                  <w:r>
                    <w:rPr>
                      <w:b/>
                      <w:bCs/>
                      <w:color w:val="000000"/>
                      <w:sz w:val="28"/>
                      <w:szCs w:val="28"/>
                    </w:rPr>
                    <w:t>ДОХОДЫ. </w:t>
                  </w:r>
                </w:p>
                <w:p w:rsidR="009F54AC" w:rsidRDefault="0059407B">
                  <w:pPr>
                    <w:ind w:firstLine="700"/>
                    <w:jc w:val="both"/>
                  </w:pPr>
                  <w:r>
                    <w:rPr>
                      <w:color w:val="000000"/>
                      <w:sz w:val="28"/>
                      <w:szCs w:val="28"/>
                    </w:rPr>
                    <w:t>За 2024 год в бюджет города Пыть-Яха поступило доходов в сумме</w:t>
                  </w:r>
                </w:p>
                <w:p w:rsidR="009F54AC" w:rsidRDefault="0059407B">
                  <w:pPr>
                    <w:ind w:firstLine="700"/>
                    <w:jc w:val="both"/>
                  </w:pPr>
                  <w:r>
                    <w:rPr>
                      <w:color w:val="000000"/>
                      <w:sz w:val="28"/>
                      <w:szCs w:val="28"/>
                    </w:rPr>
                    <w:t xml:space="preserve">  5 478 706 441,41 рубль при уточненном плане 5 352 156 900,55 рублей, что составило 102,4%. Налоговые и неналоговые доходы исполнены на 106,4% или 2 325 723 014,24 рублей.</w:t>
                  </w:r>
                </w:p>
                <w:p w:rsidR="009F54AC" w:rsidRDefault="0059407B">
                  <w:pPr>
                    <w:ind w:firstLine="700"/>
                    <w:jc w:val="both"/>
                  </w:pPr>
                  <w:r>
                    <w:rPr>
                      <w:color w:val="000000"/>
                      <w:sz w:val="28"/>
                      <w:szCs w:val="28"/>
                    </w:rPr>
                    <w:t>В общей сумме поступлений доля налоговых доходов составила 35,1%, неналоговых – 7,4%,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57,5%.</w:t>
                  </w:r>
                </w:p>
                <w:p w:rsidR="009F54AC" w:rsidRDefault="0059407B">
                  <w:pPr>
                    <w:ind w:firstLine="700"/>
                    <w:jc w:val="both"/>
                  </w:pPr>
                  <w:r>
                    <w:rPr>
                      <w:color w:val="000000"/>
                      <w:sz w:val="28"/>
                      <w:szCs w:val="28"/>
                    </w:rPr>
                    <w:t>Налоговые доходы:</w:t>
                  </w:r>
                </w:p>
                <w:p w:rsidR="009F54AC" w:rsidRDefault="0059407B">
                  <w:pPr>
                    <w:ind w:firstLine="700"/>
                    <w:jc w:val="both"/>
                  </w:pPr>
                  <w:r>
                    <w:rPr>
                      <w:color w:val="000000"/>
                      <w:sz w:val="28"/>
                      <w:szCs w:val="28"/>
                    </w:rPr>
                    <w:t>Налоговые доходы поступили в сумме 1 920 349 417,72 рублей, что составило 105,9% к уточненным плановым назначениям 2024 года и 118,8 % к поступлениям налоговых доходов за предшествующий год. </w:t>
                  </w:r>
                </w:p>
                <w:p w:rsidR="009F54AC" w:rsidRDefault="0059407B">
                  <w:pPr>
                    <w:jc w:val="right"/>
                  </w:pPr>
                  <w:r>
                    <w:rPr>
                      <w:color w:val="000000"/>
                      <w:sz w:val="28"/>
                      <w:szCs w:val="28"/>
                    </w:rPr>
                    <w:t>Таблица 1</w:t>
                  </w:r>
                </w:p>
                <w:p w:rsidR="009F54AC" w:rsidRDefault="0059407B">
                  <w:pPr>
                    <w:ind w:left="560"/>
                    <w:jc w:val="center"/>
                  </w:pPr>
                  <w:r>
                    <w:rPr>
                      <w:b/>
                      <w:bCs/>
                      <w:color w:val="000000"/>
                      <w:sz w:val="28"/>
                      <w:szCs w:val="28"/>
                    </w:rPr>
                    <w:t>Основные показатели исполнения бюджета города Пыть-Яха по налоговым доходам за 2024 год</w:t>
                  </w:r>
                </w:p>
                <w:p w:rsidR="009F54AC" w:rsidRDefault="0059407B">
                  <w:pPr>
                    <w:ind w:left="560"/>
                    <w:jc w:val="right"/>
                  </w:pPr>
                  <w:r>
                    <w:rPr>
                      <w:color w:val="000000"/>
                      <w:sz w:val="28"/>
                      <w:szCs w:val="28"/>
                    </w:rPr>
                    <w:t>(рублей)</w:t>
                  </w:r>
                </w:p>
                <w:p w:rsidR="009F54AC" w:rsidRDefault="009F54AC">
                  <w:pPr>
                    <w:rPr>
                      <w:vanish/>
                    </w:rPr>
                  </w:pPr>
                </w:p>
                <w:tbl>
                  <w:tblPr>
                    <w:tblOverlap w:val="never"/>
                    <w:tblW w:w="10313"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1762"/>
                    <w:gridCol w:w="1772"/>
                    <w:gridCol w:w="1772"/>
                    <w:gridCol w:w="1772"/>
                    <w:gridCol w:w="1220"/>
                    <w:gridCol w:w="926"/>
                    <w:gridCol w:w="1089"/>
                  </w:tblGrid>
                  <w:tr w:rsidR="009F54AC">
                    <w:tc>
                      <w:tcPr>
                        <w:tcW w:w="1762"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Показатели</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Исполнено</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Уточненный план</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Исполнено</w:t>
                        </w:r>
                      </w:p>
                    </w:tc>
                    <w:tc>
                      <w:tcPr>
                        <w:tcW w:w="1220"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Удельный вес в структуре налоговых доходов, %</w:t>
                        </w:r>
                      </w:p>
                    </w:tc>
                    <w:tc>
                      <w:tcPr>
                        <w:tcW w:w="2015" w:type="dxa"/>
                        <w:gridSpan w:val="2"/>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 исполнения</w:t>
                        </w:r>
                      </w:p>
                    </w:tc>
                  </w:tr>
                  <w:tr w:rsidR="009F54AC">
                    <w:tc>
                      <w:tcPr>
                        <w:tcW w:w="1762"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pP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2023 год</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2024 год</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2024 год</w:t>
                        </w:r>
                      </w:p>
                    </w:tc>
                    <w:tc>
                      <w:tcPr>
                        <w:tcW w:w="1220"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pP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к уточн. плану 2024 года</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к исп. 2023 года</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6 = гр.4/гр.3</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7 = гр.4/гр.2</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Налоговые доходы, в том числе:</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1 616 588 193,24</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1 814 097 800,00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1 920 349 417,72</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100,0</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105,9</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118,8</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НДФЛ</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1 275 946 811,50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1 387 376 400,00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1 489 682 370,68</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77,6</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107,4</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116,8</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Акцизы по подакцизным товарам</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16 870 018,23</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18 994 300,00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18 982 153,32</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99,9</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112,5</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Налоги на совокупный доход, в том числе:</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208 918 598,04</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291 537 100,00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290 913 830,96</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15,1</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99,8</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139,3</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УСН</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205 347 511,99</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280 000 000,00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280 742 295,72</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14,6</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100,3</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136,7</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ЕНВД</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-145 002,93</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239 200,00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241 024,03</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100,8</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ЕСН</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32 866,00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97 900,00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97 972,82</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100,1</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св. 200</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Патент</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3 683 222,98</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11 200 000,00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9 832 538,39</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0,5</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87,8</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св. 200</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Налоги на имущество, в том числе:</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105 822 007,42</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104 190 000,00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105 033 197,08</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5,5</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100,8</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99,3</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Налог на имущество физических лиц</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33 607 982,25</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25 324 000,00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28 015 812,12</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1,5</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110,6</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83,4</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Транспортный налог</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22 546 409,98</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27 080 000,00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24 358 603,14</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1,3</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90,0</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108,0</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Земельный налог</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49 667 615,19</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51 786 000,00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52 658 781,82</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2,7</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101,7</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106,0</w:t>
                        </w:r>
                      </w:p>
                    </w:tc>
                  </w:tr>
                  <w:tr w:rsidR="009F54AC">
                    <w:tc>
                      <w:tcPr>
                        <w:tcW w:w="17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lastRenderedPageBreak/>
                          <w:t>Государственная пошлина</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9 030 758,05</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12 000 000,00</w:t>
                        </w:r>
                      </w:p>
                    </w:tc>
                    <w:tc>
                      <w:tcPr>
                        <w:tcW w:w="17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15 737 865,68</w:t>
                        </w:r>
                      </w:p>
                    </w:tc>
                    <w:tc>
                      <w:tcPr>
                        <w:tcW w:w="12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0,8</w:t>
                        </w:r>
                      </w:p>
                    </w:tc>
                    <w:tc>
                      <w:tcPr>
                        <w:tcW w:w="92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131,2</w:t>
                        </w:r>
                      </w:p>
                    </w:tc>
                    <w:tc>
                      <w:tcPr>
                        <w:tcW w:w="108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174,3</w:t>
                        </w:r>
                      </w:p>
                    </w:tc>
                  </w:tr>
                </w:tbl>
                <w:p w:rsidR="009F54AC" w:rsidRDefault="0059407B">
                  <w:pPr>
                    <w:ind w:firstLine="700"/>
                    <w:jc w:val="both"/>
                  </w:pPr>
                  <w:r>
                    <w:rPr>
                      <w:color w:val="000000"/>
                      <w:sz w:val="28"/>
                      <w:szCs w:val="28"/>
                    </w:rPr>
                    <w:t>В структуре налоговых доходов бюджета наибольший удельный вес приходится на налог на доходы физических лиц 77,6%, или 1 489 682 370,68 рублей, при плановых назначениях 1 387 376 400,00 рублей. Исполнение составило 107,4% к плановым назначениям отчетного года и 116,8% к поступлениям за 2023 год. Увеличение поступлений в сравнении с аналогичным периодом прошлого года обусловлено в связи с ежегодным индексированием заработной платы и ростом поступлений, полученных с доходов в виде дивидендов. </w:t>
                  </w:r>
                </w:p>
                <w:p w:rsidR="009F54AC" w:rsidRDefault="0059407B">
                  <w:pPr>
                    <w:ind w:firstLine="700"/>
                    <w:jc w:val="both"/>
                  </w:pPr>
                  <w:r>
                    <w:rPr>
                      <w:color w:val="000000"/>
                      <w:sz w:val="28"/>
                      <w:szCs w:val="28"/>
                    </w:rPr>
                    <w:t>Акцизы по подакцизным товарам (продукции), производимым на территории Российской Федерации поступили в бюджет города в сумме</w:t>
                  </w:r>
                </w:p>
                <w:p w:rsidR="009F54AC" w:rsidRDefault="0059407B">
                  <w:pPr>
                    <w:ind w:firstLine="700"/>
                    <w:jc w:val="both"/>
                  </w:pPr>
                  <w:r>
                    <w:rPr>
                      <w:color w:val="000000"/>
                      <w:sz w:val="28"/>
                      <w:szCs w:val="28"/>
                    </w:rPr>
                    <w:t xml:space="preserve">  18 982 153,32 рублей или 99,9% к плановым назначениям 18 994 300,00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1,0%.</w:t>
                  </w:r>
                </w:p>
                <w:p w:rsidR="009F54AC" w:rsidRDefault="0059407B">
                  <w:pPr>
                    <w:ind w:firstLine="700"/>
                    <w:jc w:val="both"/>
                  </w:pPr>
                  <w:r>
                    <w:rPr>
                      <w:color w:val="000000"/>
                      <w:sz w:val="28"/>
                      <w:szCs w:val="28"/>
                    </w:rPr>
                    <w:t>Налоги на совокупный доход исполнены на 99,8% и составили 290 913 830,96 рублей. Удельный вес в составе налоговых доходов в отчетном периоде составил 15,2%. В сравнении с предыдущим годом темп роста поступлений налогов на совокупный доход составил 139,3%. Увеличение поступлений в сравнении с аналогичным периодом прошлого года обусловлено ростом поступлений от индивидуальных предпринимателей и юридических лиц, в связи с увеличением объемов выручки. </w:t>
                  </w:r>
                </w:p>
                <w:p w:rsidR="009F54AC" w:rsidRDefault="0059407B">
                  <w:pPr>
                    <w:ind w:firstLine="700"/>
                    <w:jc w:val="both"/>
                  </w:pPr>
                  <w:r>
                    <w:rPr>
                      <w:color w:val="000000"/>
                      <w:sz w:val="28"/>
                      <w:szCs w:val="28"/>
                    </w:rPr>
                    <w:t>Налоги на имущество – плановые показатели выполнены на 100,8% и составили 105 033 197,08 рублей. Удельный вес в составе налоговых доходов составил 5,5%. В сравнении с предыдущим годом темп роста составил 99,3%. Снижение поступлений по данным Межрайонной ИФНС России № 7 по ХМАО-Югре обусловлено снижением оплаты недоимки за прошлые периоды. </w:t>
                  </w:r>
                </w:p>
                <w:p w:rsidR="009F54AC" w:rsidRDefault="0059407B">
                  <w:pPr>
                    <w:ind w:firstLine="700"/>
                    <w:jc w:val="both"/>
                  </w:pPr>
                  <w:r>
                    <w:rPr>
                      <w:color w:val="000000"/>
                      <w:sz w:val="28"/>
                      <w:szCs w:val="28"/>
                    </w:rPr>
                    <w:t>Государственная пошлина поступила в размере 15 737 865,68 рублей, или 131,2% к плановым назначениям и 174,3% к поступлениям за 2023 год. Удельный вес в структуре налоговых доходов составил 0,8%. </w:t>
                  </w:r>
                </w:p>
                <w:p w:rsidR="009F54AC" w:rsidRDefault="0059407B">
                  <w:pPr>
                    <w:ind w:firstLine="700"/>
                    <w:jc w:val="both"/>
                  </w:pPr>
                  <w:r>
                    <w:rPr>
                      <w:color w:val="000000"/>
                      <w:sz w:val="28"/>
                      <w:szCs w:val="28"/>
                    </w:rPr>
                    <w:t>Неналоговые доходы:</w:t>
                  </w:r>
                </w:p>
                <w:p w:rsidR="009F54AC" w:rsidRDefault="0059407B">
                  <w:pPr>
                    <w:ind w:firstLine="700"/>
                    <w:jc w:val="both"/>
                  </w:pPr>
                  <w:r>
                    <w:rPr>
                      <w:color w:val="000000"/>
                      <w:sz w:val="28"/>
                      <w:szCs w:val="28"/>
                    </w:rPr>
                    <w:t>Неналоговые доходы исполнены в сумме 405 373 596,52 рублей, что составило 108,8% к плановым назначениям и 137,6% к уровню прошлого года.</w:t>
                  </w:r>
                </w:p>
                <w:p w:rsidR="009F54AC" w:rsidRDefault="0059407B">
                  <w:pPr>
                    <w:jc w:val="right"/>
                  </w:pPr>
                  <w:r>
                    <w:rPr>
                      <w:color w:val="000000"/>
                      <w:sz w:val="28"/>
                      <w:szCs w:val="28"/>
                    </w:rPr>
                    <w:t>Таблица 2</w:t>
                  </w:r>
                </w:p>
                <w:p w:rsidR="009F54AC" w:rsidRDefault="0059407B">
                  <w:pPr>
                    <w:ind w:left="560"/>
                    <w:jc w:val="center"/>
                  </w:pPr>
                  <w:r>
                    <w:rPr>
                      <w:b/>
                      <w:bCs/>
                      <w:color w:val="000000"/>
                      <w:sz w:val="28"/>
                      <w:szCs w:val="28"/>
                    </w:rPr>
                    <w:t>Основные показатели исполнения бюджета города Пыть-Яха по неналоговым доходам за 2024 год</w:t>
                  </w:r>
                </w:p>
                <w:p w:rsidR="009F54AC" w:rsidRDefault="0059407B">
                  <w:pPr>
                    <w:ind w:left="560"/>
                    <w:jc w:val="right"/>
                  </w:pPr>
                  <w:r>
                    <w:rPr>
                      <w:color w:val="000000"/>
                      <w:sz w:val="28"/>
                      <w:szCs w:val="28"/>
                    </w:rPr>
                    <w:t>(рублей)</w:t>
                  </w:r>
                </w:p>
                <w:p w:rsidR="009F54AC" w:rsidRDefault="009F54AC">
                  <w:pPr>
                    <w:rPr>
                      <w:vanish/>
                    </w:rPr>
                  </w:pPr>
                </w:p>
                <w:tbl>
                  <w:tblPr>
                    <w:tblOverlap w:val="never"/>
                    <w:tblW w:w="10312"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1722"/>
                    <w:gridCol w:w="1596"/>
                    <w:gridCol w:w="1596"/>
                    <w:gridCol w:w="1596"/>
                    <w:gridCol w:w="1409"/>
                    <w:gridCol w:w="1025"/>
                    <w:gridCol w:w="1368"/>
                  </w:tblGrid>
                  <w:tr w:rsidR="009F54AC">
                    <w:tc>
                      <w:tcPr>
                        <w:tcW w:w="1722"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Показатели</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Исполнено</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Уточненный план</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Исполнено</w:t>
                        </w:r>
                      </w:p>
                    </w:tc>
                    <w:tc>
                      <w:tcPr>
                        <w:tcW w:w="1409"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Удельный вес в структуре неналого</w:t>
                        </w:r>
                        <w:r>
                          <w:rPr>
                            <w:color w:val="000000"/>
                            <w:sz w:val="28"/>
                            <w:szCs w:val="28"/>
                          </w:rPr>
                          <w:lastRenderedPageBreak/>
                          <w:t>вых доходов, %</w:t>
                        </w:r>
                      </w:p>
                    </w:tc>
                    <w:tc>
                      <w:tcPr>
                        <w:tcW w:w="2393" w:type="dxa"/>
                        <w:gridSpan w:val="2"/>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 исполнения</w:t>
                        </w:r>
                      </w:p>
                    </w:tc>
                  </w:tr>
                  <w:tr w:rsidR="009F54AC">
                    <w:tc>
                      <w:tcPr>
                        <w:tcW w:w="1722"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pP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2023 год</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2024 год</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2024 год</w:t>
                        </w:r>
                      </w:p>
                    </w:tc>
                    <w:tc>
                      <w:tcPr>
                        <w:tcW w:w="1409"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pPr>
                      </w:p>
                    </w:tc>
                    <w:tc>
                      <w:tcPr>
                        <w:tcW w:w="10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 xml:space="preserve">к уточн. </w:t>
                        </w:r>
                        <w:r>
                          <w:rPr>
                            <w:color w:val="000000"/>
                            <w:sz w:val="28"/>
                            <w:szCs w:val="28"/>
                          </w:rPr>
                          <w:lastRenderedPageBreak/>
                          <w:t>плану 2024 года</w:t>
                        </w:r>
                      </w:p>
                    </w:tc>
                    <w:tc>
                      <w:tcPr>
                        <w:tcW w:w="13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к исполнен</w:t>
                        </w:r>
                        <w:r>
                          <w:rPr>
                            <w:color w:val="000000"/>
                            <w:sz w:val="28"/>
                            <w:szCs w:val="28"/>
                          </w:rPr>
                          <w:lastRenderedPageBreak/>
                          <w:t>ию 2023 года</w:t>
                        </w:r>
                      </w:p>
                    </w:tc>
                  </w:tr>
                  <w:tr w:rsidR="009F54AC">
                    <w:tc>
                      <w:tcPr>
                        <w:tcW w:w="172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1</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w:t>
                        </w:r>
                      </w:p>
                    </w:tc>
                    <w:tc>
                      <w:tcPr>
                        <w:tcW w:w="14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w:t>
                        </w:r>
                      </w:p>
                    </w:tc>
                    <w:tc>
                      <w:tcPr>
                        <w:tcW w:w="10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6 = гр.4/гр.3</w:t>
                        </w:r>
                      </w:p>
                    </w:tc>
                    <w:tc>
                      <w:tcPr>
                        <w:tcW w:w="13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7 = гр.4/гр.2</w:t>
                        </w:r>
                      </w:p>
                    </w:tc>
                  </w:tr>
                  <w:tr w:rsidR="009F54AC">
                    <w:tc>
                      <w:tcPr>
                        <w:tcW w:w="172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Неналоговые доходы, в том числе:</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294 618 734,93</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372482900,00</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405373596,52</w:t>
                        </w:r>
                      </w:p>
                    </w:tc>
                    <w:tc>
                      <w:tcPr>
                        <w:tcW w:w="14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100,0 </w:t>
                        </w:r>
                      </w:p>
                    </w:tc>
                    <w:tc>
                      <w:tcPr>
                        <w:tcW w:w="10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108,8</w:t>
                        </w:r>
                      </w:p>
                    </w:tc>
                    <w:tc>
                      <w:tcPr>
                        <w:tcW w:w="13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137,6</w:t>
                        </w:r>
                      </w:p>
                    </w:tc>
                  </w:tr>
                  <w:tr w:rsidR="009F54AC">
                    <w:tc>
                      <w:tcPr>
                        <w:tcW w:w="172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Доходы от использования имущества</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215324159,27</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236671400,00</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252126092,19</w:t>
                        </w:r>
                      </w:p>
                    </w:tc>
                    <w:tc>
                      <w:tcPr>
                        <w:tcW w:w="14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62,2</w:t>
                        </w:r>
                      </w:p>
                    </w:tc>
                    <w:tc>
                      <w:tcPr>
                        <w:tcW w:w="10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106,5</w:t>
                        </w:r>
                      </w:p>
                    </w:tc>
                    <w:tc>
                      <w:tcPr>
                        <w:tcW w:w="13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117,1</w:t>
                        </w:r>
                      </w:p>
                    </w:tc>
                  </w:tr>
                  <w:tr w:rsidR="009F54AC">
                    <w:tc>
                      <w:tcPr>
                        <w:tcW w:w="172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Платежи за пользование природными ресурсами</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8765059,92</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3757550,00</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3651962,97</w:t>
                        </w:r>
                      </w:p>
                    </w:tc>
                    <w:tc>
                      <w:tcPr>
                        <w:tcW w:w="14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0,9</w:t>
                        </w:r>
                      </w:p>
                    </w:tc>
                    <w:tc>
                      <w:tcPr>
                        <w:tcW w:w="10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97,2</w:t>
                        </w:r>
                      </w:p>
                    </w:tc>
                    <w:tc>
                      <w:tcPr>
                        <w:tcW w:w="13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41,7</w:t>
                        </w:r>
                      </w:p>
                    </w:tc>
                  </w:tr>
                  <w:tr w:rsidR="009F54AC">
                    <w:tc>
                      <w:tcPr>
                        <w:tcW w:w="172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Прочие доходы от оказания платных услуг и компенсации затрат</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2902126,12</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6720100,00</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6813181,79</w:t>
                        </w:r>
                      </w:p>
                    </w:tc>
                    <w:tc>
                      <w:tcPr>
                        <w:tcW w:w="14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1,7</w:t>
                        </w:r>
                      </w:p>
                    </w:tc>
                    <w:tc>
                      <w:tcPr>
                        <w:tcW w:w="10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101,4</w:t>
                        </w:r>
                      </w:p>
                    </w:tc>
                    <w:tc>
                      <w:tcPr>
                        <w:tcW w:w="13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св. 200</w:t>
                        </w:r>
                      </w:p>
                    </w:tc>
                  </w:tr>
                  <w:tr w:rsidR="009F54AC">
                    <w:tc>
                      <w:tcPr>
                        <w:tcW w:w="172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Доходы от продажи материальных и нематериальных активов</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55320175,80</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120223000,00</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137523183,48</w:t>
                        </w:r>
                      </w:p>
                    </w:tc>
                    <w:tc>
                      <w:tcPr>
                        <w:tcW w:w="14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33,9</w:t>
                        </w:r>
                      </w:p>
                    </w:tc>
                    <w:tc>
                      <w:tcPr>
                        <w:tcW w:w="10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114,4</w:t>
                        </w:r>
                      </w:p>
                    </w:tc>
                    <w:tc>
                      <w:tcPr>
                        <w:tcW w:w="13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св. 200</w:t>
                        </w:r>
                      </w:p>
                    </w:tc>
                  </w:tr>
                  <w:tr w:rsidR="009F54AC">
                    <w:tc>
                      <w:tcPr>
                        <w:tcW w:w="172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Штрафы, санкции, возмещение ущерба </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11743309,62</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5110850,00</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5286267,77</w:t>
                        </w:r>
                      </w:p>
                    </w:tc>
                    <w:tc>
                      <w:tcPr>
                        <w:tcW w:w="14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1,3</w:t>
                        </w:r>
                      </w:p>
                    </w:tc>
                    <w:tc>
                      <w:tcPr>
                        <w:tcW w:w="10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103,4</w:t>
                        </w:r>
                      </w:p>
                    </w:tc>
                    <w:tc>
                      <w:tcPr>
                        <w:tcW w:w="13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45,0</w:t>
                        </w:r>
                      </w:p>
                    </w:tc>
                  </w:tr>
                  <w:tr w:rsidR="009F54AC">
                    <w:tc>
                      <w:tcPr>
                        <w:tcW w:w="172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Прочие неналоговые доходы</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563904,20</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0,00</w:t>
                        </w:r>
                      </w:p>
                    </w:tc>
                    <w:tc>
                      <w:tcPr>
                        <w:tcW w:w="159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-27091,68</w:t>
                        </w:r>
                      </w:p>
                    </w:tc>
                    <w:tc>
                      <w:tcPr>
                        <w:tcW w:w="140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w:t>
                        </w:r>
                      </w:p>
                    </w:tc>
                    <w:tc>
                      <w:tcPr>
                        <w:tcW w:w="10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0,00</w:t>
                        </w:r>
                      </w:p>
                    </w:tc>
                    <w:tc>
                      <w:tcPr>
                        <w:tcW w:w="136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-4,80</w:t>
                        </w:r>
                      </w:p>
                    </w:tc>
                  </w:tr>
                </w:tbl>
                <w:p w:rsidR="009F54AC" w:rsidRDefault="0059407B">
                  <w:pPr>
                    <w:ind w:firstLine="700"/>
                    <w:jc w:val="both"/>
                  </w:pPr>
                  <w:r>
                    <w:rPr>
                      <w:color w:val="000000"/>
                      <w:sz w:val="28"/>
                      <w:szCs w:val="28"/>
                    </w:rPr>
                    <w:t xml:space="preserve">Доходы от использования имущества, находящегося в государственной и муниципальной собственности, исполнены в сумме 252 126 092,19 рублей или 106,5% к годовым плановым назначениям и 117,1% к поступлениям за 2023 год. Увеличение поступлений в сравнении с аналогичным периодом прошлого года обусловлено оплатой задолженности прошлых лет по решениям суда, поступлением авансовых </w:t>
                  </w:r>
                  <w:r>
                    <w:rPr>
                      <w:color w:val="000000"/>
                      <w:sz w:val="28"/>
                      <w:szCs w:val="28"/>
                    </w:rPr>
                    <w:lastRenderedPageBreak/>
                    <w:t>платежей за 2025 год по новым договорам по аренде земельных участков от ООО "РН-Юганскнефтегаз". Удельный вес в структуре неналоговых доходов составляет 62,2%.</w:t>
                  </w:r>
                </w:p>
                <w:p w:rsidR="009F54AC" w:rsidRDefault="0059407B">
                  <w:pPr>
                    <w:ind w:firstLine="700"/>
                    <w:jc w:val="both"/>
                  </w:pPr>
                  <w:r>
                    <w:rPr>
                      <w:color w:val="000000"/>
                      <w:sz w:val="28"/>
                      <w:szCs w:val="28"/>
                    </w:rPr>
                    <w:t>Платежи за пользование природными ресурсами поступили в сумме 3 651 962,97 рублей или 97,2% от плановых назначений и 41,7% к поступлениям за 2023 год. Удельный вес в структуре неналоговых доходов составляет 1,0%. Снижение поступлений в сравнении с аналогичным периодом прошлого года обусловлено тем, что в 2024 году осуществляется зачисление доходов по нормативу 60%. Кроме этого в 2023 году поступила задолженность за 2022 год за выбросы загрязняющих веществ, образующихся при сжигании на факельных установках и (или) рассеивании попутного нефтяного газа от ООО "РН-Юганскнефтегаз" в сумме 4 339 389,86 рублей.</w:t>
                  </w:r>
                </w:p>
                <w:p w:rsidR="009F54AC" w:rsidRDefault="0059407B">
                  <w:pPr>
                    <w:ind w:firstLine="700"/>
                    <w:jc w:val="both"/>
                  </w:pPr>
                  <w:r>
                    <w:rPr>
                      <w:color w:val="000000"/>
                      <w:sz w:val="28"/>
                      <w:szCs w:val="28"/>
                    </w:rPr>
                    <w:t>Прочие доходы от оказания платных услуг и компенсации затрат бюджетов городских округов исполнены на 101,4% и свыше 200% к поступлениям за 2023 год, и составили 6 813 181,79 рублей. Удельный вес в структуре неналоговых доходов составляет 1,7%. Увеличение поступлений в сравнении с аналогичным периодом прошлого года обусловлено возвратом субсидии от МУП АТП в сумме 5 901 403,5 рублей.</w:t>
                  </w:r>
                </w:p>
                <w:p w:rsidR="009F54AC" w:rsidRDefault="0059407B">
                  <w:pPr>
                    <w:ind w:firstLine="700"/>
                    <w:jc w:val="both"/>
                  </w:pPr>
                  <w:r>
                    <w:rPr>
                      <w:color w:val="000000"/>
                      <w:sz w:val="28"/>
                      <w:szCs w:val="28"/>
                    </w:rPr>
                    <w:t>Доходы от продажи материальных и нематериальных активов исполнены на 114,4% к плановым назначениям отчетного года, и составили 137 523 183,48 рублей. В сравнении с предыдущим годом темп роста составил свыше 200%. Увеличение поступлений в сравнении с 2023 годом связано с реализацией права на выкуп жилых помещений, занимаемых по договорам найма жилищного фонда коммерческого использования (46 человек), а также по результатам аукционов реализовано 11 объектов муниципального имущества (вагон-бытовка – 5 штук, гараж металлический, административный корпус с земельным участком, спец. автомобиль, 2 объекта по адресу мкр. 10 Мамонтово, ул. Студенческая, д. 50, 1 объект по адресу мкр.3 Кедровый, д.  34а). Удельный вес в структуре неналоговых доходов составляет 33,9%.</w:t>
                  </w:r>
                </w:p>
                <w:p w:rsidR="009F54AC" w:rsidRDefault="0059407B">
                  <w:pPr>
                    <w:ind w:firstLine="700"/>
                    <w:jc w:val="both"/>
                  </w:pPr>
                  <w:r>
                    <w:rPr>
                      <w:color w:val="000000"/>
                      <w:sz w:val="28"/>
                      <w:szCs w:val="28"/>
                    </w:rPr>
                    <w:t>Штрафы, санкции, возмещение ущерба исполнены в сумме 5 286 267,77 рублей или 103,4% к плановым назначениям и 45,0% к поступлениям 2023 года. Удельный вес в структуре неналоговых доходов составляет 1,3%. Снижение поступлений в сравнении с аналогичным периодом прошлого года обусловлено аварийным состоянием Путепровода, что повлекло запрет на проезд тяжеловесных грузовых автомобилей. </w:t>
                  </w:r>
                </w:p>
                <w:p w:rsidR="009F54AC" w:rsidRDefault="0059407B">
                  <w:pPr>
                    <w:ind w:firstLine="700"/>
                    <w:jc w:val="both"/>
                  </w:pPr>
                  <w:r>
                    <w:rPr>
                      <w:color w:val="000000"/>
                      <w:sz w:val="28"/>
                      <w:szCs w:val="28"/>
                    </w:rPr>
                    <w:t>Прочие неналоговые доходы исполнение составило -27 091,68 рублей. Удельный вес в структуре неналоговых доходов составил -0,01%.  В сравнении с предыдущим годом темп роста составил -4,8%. Снижение поступлений объясняется уточнением платежей прошлых лет по уведомлениям управления по муниципальному имуществу и управления архитектуры и градостроительства.</w:t>
                  </w:r>
                </w:p>
                <w:p w:rsidR="009F54AC" w:rsidRDefault="0059407B">
                  <w:pPr>
                    <w:ind w:firstLine="700"/>
                    <w:jc w:val="both"/>
                  </w:pPr>
                  <w:r>
                    <w:rPr>
                      <w:color w:val="000000"/>
                      <w:sz w:val="28"/>
                      <w:szCs w:val="28"/>
                    </w:rPr>
                    <w:t>Безвозмездные поступления:</w:t>
                  </w:r>
                </w:p>
                <w:p w:rsidR="009F54AC" w:rsidRDefault="0059407B">
                  <w:pPr>
                    <w:ind w:firstLine="700"/>
                    <w:jc w:val="both"/>
                  </w:pPr>
                  <w:r>
                    <w:rPr>
                      <w:color w:val="000000"/>
                      <w:sz w:val="28"/>
                      <w:szCs w:val="28"/>
                    </w:rPr>
                    <w:t>Наибольший удельный вес в доходах бюджета города составляют безвозмездные поступления. Доля безвозмездных поступлений составляет 57,5% в составе общей суммы доходов или 3 152 983 427,17 рублей, в том числе безвозмездные поступления от других бюджетов бюджетной системы 3 112 716 173,48 рублей.</w:t>
                  </w:r>
                </w:p>
                <w:p w:rsidR="009F54AC" w:rsidRDefault="009F54AC">
                  <w:pPr>
                    <w:rPr>
                      <w:vanish/>
                    </w:rPr>
                  </w:pPr>
                </w:p>
                <w:tbl>
                  <w:tblPr>
                    <w:tblOverlap w:val="never"/>
                    <w:tblW w:w="10313"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1778"/>
                    <w:gridCol w:w="1788"/>
                    <w:gridCol w:w="1788"/>
                    <w:gridCol w:w="1788"/>
                    <w:gridCol w:w="1236"/>
                    <w:gridCol w:w="1935"/>
                  </w:tblGrid>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Показатели</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Исполнено</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Уточненный план</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Исполнено</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Удельный вес в структуре безвозмездных поступлений, %</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Удельный вес в структуре безвозмездных поступлений от других бюджетов бюджетной системы РФ, %</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jc w:val="both"/>
                        </w:pPr>
                      </w:p>
                      <w:p w:rsidR="009F54AC" w:rsidRDefault="009F54AC">
                        <w:pPr>
                          <w:jc w:val="both"/>
                        </w:pP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2023 год</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2024 год</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2024 год</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jc w:val="both"/>
                        </w:pPr>
                      </w:p>
                      <w:p w:rsidR="009F54AC" w:rsidRDefault="009F54AC">
                        <w:pPr>
                          <w:jc w:val="both"/>
                        </w:pP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jc w:val="both"/>
                        </w:pPr>
                      </w:p>
                      <w:p w:rsidR="009F54AC" w:rsidRDefault="009F54AC">
                        <w:pPr>
                          <w:jc w:val="both"/>
                        </w:pP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6</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Безвозмездные поступления</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2 808 285 515,30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3 165 576 200,55</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3 152 983 427,17</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100,0</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jc w:val="both"/>
                        </w:pPr>
                      </w:p>
                      <w:p w:rsidR="009F54AC" w:rsidRDefault="009F54AC">
                        <w:pPr>
                          <w:jc w:val="both"/>
                        </w:pP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Безвозмездные поступления от других бюджетов бюджетной системы Российской Федерации</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2 670 282 154,99</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3 125 957 015,87</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3 112 716 173,48</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jc w:val="both"/>
                        </w:pPr>
                      </w:p>
                      <w:p w:rsidR="009F54AC" w:rsidRDefault="009F54AC">
                        <w:pPr>
                          <w:jc w:val="both"/>
                        </w:pP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100,0</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Дотации бюджетам бюджетной системы Российской Федерации, в том числе:</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570 486 800,00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586 484 700,00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586 484 700,00</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18,6</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18,8</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Дотации на выравнивание бюджетной обеспеченности</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257 401 100,00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283 674 400,00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283 674 400,00</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9,0</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9,1</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Дотации бюджетам на поддержку мер по обеспечени</w:t>
                        </w:r>
                        <w:r>
                          <w:rPr>
                            <w:color w:val="000000"/>
                            <w:sz w:val="28"/>
                            <w:szCs w:val="28"/>
                          </w:rPr>
                          <w:lastRenderedPageBreak/>
                          <w:t>ю сбалансированности бюджетов</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300 578 300,00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294 431 400,00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291 431 400,00</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9,3</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9,4</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Прочие дотации бюджетам городских округов</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12 507 400,00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8 378 900,00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8 378 900,00</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0,3</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0,3</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Субсидии бюджетам бюджетной системы Российской Федерации (межбюджетные субсидии)</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340 977 624,47</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419 167 321,87</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417 175 609,32</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13,2</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13,4</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Субвенции бюджетам субъектов Российской Федерации и муниципальных образований</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1 552 469 313,95</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1 736 042 700,00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1 724 800 720,93</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54,7</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55,4</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Иные межбюджетные трансферты</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206 348 416,57</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384 262 294,00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384 255 143,23</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12,2</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12,4</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 xml:space="preserve">Прочие безвозмездные поступления от государственных (муниципальных) организаций в бюджеты </w:t>
                        </w:r>
                        <w:r>
                          <w:rPr>
                            <w:color w:val="000000"/>
                            <w:sz w:val="28"/>
                            <w:szCs w:val="28"/>
                          </w:rPr>
                          <w:lastRenderedPageBreak/>
                          <w:t>городских округов</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4 078 727,36</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505 859,11</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1 153 928,12</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0,1</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Прочие безвозмездные поступления в бюджеты городских округов</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146 100 400,95</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39 113 325,57</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39 113 325,57</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1,2</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w:t>
                        </w:r>
                      </w:p>
                    </w:tc>
                  </w:tr>
                  <w:tr w:rsidR="009F54AC">
                    <w:tc>
                      <w:tcPr>
                        <w:tcW w:w="1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Возврат прочих остатков субсидий, субвенций и иных межбюджетных трансфертов, имеющих целевое назначение, прошлых лет</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-12 215 768,00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0,00</w:t>
                        </w:r>
                      </w:p>
                    </w:tc>
                    <w:tc>
                      <w:tcPr>
                        <w:tcW w:w="178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0,00</w:t>
                        </w:r>
                      </w:p>
                    </w:tc>
                    <w:tc>
                      <w:tcPr>
                        <w:tcW w:w="123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w:t>
                        </w:r>
                      </w:p>
                    </w:tc>
                    <w:tc>
                      <w:tcPr>
                        <w:tcW w:w="19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0,0</w:t>
                        </w:r>
                      </w:p>
                    </w:tc>
                  </w:tr>
                </w:tbl>
                <w:p w:rsidR="009F54AC" w:rsidRDefault="0059407B">
                  <w:pPr>
                    <w:ind w:firstLine="700"/>
                    <w:jc w:val="both"/>
                  </w:pPr>
                  <w:r>
                    <w:rPr>
                      <w:color w:val="000000"/>
                      <w:sz w:val="28"/>
                      <w:szCs w:val="28"/>
                    </w:rPr>
                    <w:t>Дотации бюджетам субъектов Российской Федерации и муниципальных образований поступили в сумме 586 484 700,00 рублей. Удельный вес дотаций в структуре безвозмездных поступлений от других бюджетов бюджетной системы составил 18,8%.</w:t>
                  </w:r>
                </w:p>
                <w:p w:rsidR="009F54AC" w:rsidRDefault="0059407B">
                  <w:pPr>
                    <w:ind w:firstLine="700"/>
                    <w:jc w:val="both"/>
                  </w:pPr>
                  <w:r>
                    <w:rPr>
                      <w:color w:val="000000"/>
                      <w:sz w:val="28"/>
                      <w:szCs w:val="28"/>
                    </w:rPr>
                    <w:t>Субсидии местным бюджетам поступили в сумме 417 175 609,32 рублей или 99,5% к плановым назначениям. Удельный вес субсидий в общем объеме безвозмездных поступлений от других бюджетов бюджетной системы составил 13,4%. </w:t>
                  </w:r>
                </w:p>
                <w:p w:rsidR="009F54AC" w:rsidRDefault="0059407B">
                  <w:pPr>
                    <w:ind w:firstLine="700"/>
                    <w:jc w:val="both"/>
                  </w:pPr>
                  <w:r>
                    <w:rPr>
                      <w:color w:val="000000"/>
                      <w:sz w:val="28"/>
                      <w:szCs w:val="28"/>
                    </w:rPr>
                    <w:t>Субвенции бюджетам муниципальных образований поступили в сумме 1 724 800 720,93 рублей или 99,4% от плана. Удельный вес в структуре безвозмездных поступлений от других бюджетов бюджетной системы составил 55,4%. </w:t>
                  </w:r>
                </w:p>
                <w:p w:rsidR="009F54AC" w:rsidRDefault="0059407B">
                  <w:pPr>
                    <w:ind w:firstLine="700"/>
                    <w:jc w:val="both"/>
                  </w:pPr>
                  <w:r>
                    <w:rPr>
                      <w:color w:val="000000"/>
                      <w:sz w:val="28"/>
                      <w:szCs w:val="28"/>
                    </w:rPr>
                    <w:t>Иные межбюджетные трансферты поступили в сумме 384 255 143,23 рублей или 100,0% от плана, в том числе:</w:t>
                  </w:r>
                </w:p>
                <w:p w:rsidR="009F54AC" w:rsidRDefault="0059407B">
                  <w:pPr>
                    <w:ind w:firstLine="700"/>
                    <w:jc w:val="both"/>
                  </w:pPr>
                  <w:r>
                    <w:rPr>
                      <w:color w:val="000000"/>
                      <w:sz w:val="28"/>
                      <w:szCs w:val="28"/>
                    </w:rPr>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- 58 794 000,00 рублей или 100,0%;</w:t>
                  </w:r>
                </w:p>
                <w:p w:rsidR="009F54AC" w:rsidRDefault="0059407B">
                  <w:pPr>
                    <w:ind w:firstLine="700"/>
                    <w:jc w:val="both"/>
                  </w:pPr>
                  <w:r>
                    <w:rPr>
                      <w:color w:val="000000"/>
                      <w:sz w:val="28"/>
                      <w:szCs w:val="28"/>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w:t>
                  </w:r>
                  <w:r>
                    <w:rPr>
                      <w:color w:val="000000"/>
                      <w:sz w:val="28"/>
                      <w:szCs w:val="28"/>
                    </w:rPr>
                    <w:lastRenderedPageBreak/>
                    <w:t>общеобразовательных организаций и профессиональных образовательных организаций – 86 099,19 рублей или 96,52%;</w:t>
                  </w:r>
                </w:p>
                <w:p w:rsidR="009F54AC" w:rsidRDefault="0059407B">
                  <w:pPr>
                    <w:ind w:firstLine="700"/>
                    <w:jc w:val="both"/>
                  </w:pPr>
                  <w:r>
                    <w:rPr>
                      <w:color w:val="000000"/>
                      <w:sz w:val="28"/>
                      <w:szCs w:val="28"/>
                    </w:rPr>
                    <w:t>- на реализацию мероприятий государственной программы Ханты-Мансийского автономного округа – Югры «Поддержка занятости населения» по содействию трудоустройству граждан в сумме 3 124 550,04 рублей или 99,9% от плана;</w:t>
                  </w:r>
                </w:p>
                <w:p w:rsidR="009F54AC" w:rsidRDefault="0059407B">
                  <w:pPr>
                    <w:ind w:firstLine="700"/>
                    <w:jc w:val="both"/>
                  </w:pPr>
                  <w:r>
                    <w:rPr>
                      <w:color w:val="000000"/>
                      <w:sz w:val="28"/>
                      <w:szCs w:val="28"/>
                    </w:rPr>
                    <w:t>- за счет средств резервного фонда Правительства Ханты-Мансийского автономного округа - Югры (0502) (оплата задолженности организаций коммунального комплекса за потреблённые топливно-энергетические ресурсы (постановление Правительства ХМАО-Югры от 10.02.2024 № 45-п, от 08.11.2024 № 415-п, от 24.12.2024 № 531-п) – 316 061 700,00 рублей или 100%;</w:t>
                  </w:r>
                </w:p>
                <w:p w:rsidR="009F54AC" w:rsidRDefault="0059407B">
                  <w:pPr>
                    <w:ind w:firstLine="700"/>
                    <w:jc w:val="both"/>
                  </w:pPr>
                  <w:r>
                    <w:rPr>
                      <w:color w:val="000000"/>
                      <w:sz w:val="28"/>
                      <w:szCs w:val="28"/>
                    </w:rPr>
                    <w:t>- за счет средств резервного фонда Правительства Ханты-Мансийского автономного округа - Югры (0113) - 3 388 400,00 рублей или 100%, в том числе: </w:t>
                  </w:r>
                </w:p>
                <w:p w:rsidR="009F54AC" w:rsidRDefault="0059407B">
                  <w:pPr>
                    <w:ind w:firstLine="700"/>
                    <w:jc w:val="both"/>
                  </w:pPr>
                  <w:r>
                    <w:rPr>
                      <w:color w:val="000000"/>
                      <w:sz w:val="28"/>
                      <w:szCs w:val="28"/>
                    </w:rPr>
                    <w:t>а) 920 000,00 рублей на поощрение мобилизационных групп (постановление Правительства ХМАО-Югры от 15.03.2024 № 101-п ДСП, от 19.04.2024 № 152-п ДСП, от 24.05.2024 № 204-п ДСП, от 11.12.2024 № 483-п ДСП, от 19.12.2024 № 528-п ДСП);</w:t>
                  </w:r>
                </w:p>
                <w:p w:rsidR="009F54AC" w:rsidRDefault="0059407B">
                  <w:pPr>
                    <w:ind w:firstLine="700"/>
                    <w:jc w:val="both"/>
                  </w:pPr>
                  <w:r>
                    <w:rPr>
                      <w:color w:val="000000"/>
                      <w:sz w:val="28"/>
                      <w:szCs w:val="28"/>
                    </w:rPr>
                    <w:t>б) 2 468 400,00 рублей на поощрение муниципальных команд (постановление Правительства ХМАО-Югры от 22.03.2024 № 112-п ДСП);</w:t>
                  </w:r>
                </w:p>
                <w:p w:rsidR="009F54AC" w:rsidRDefault="0059407B">
                  <w:pPr>
                    <w:ind w:firstLine="700"/>
                    <w:jc w:val="both"/>
                  </w:pPr>
                  <w:r>
                    <w:rPr>
                      <w:color w:val="000000"/>
                      <w:sz w:val="28"/>
                      <w:szCs w:val="28"/>
                    </w:rPr>
                    <w:t>- на наказы избирателей депутатам Думы ХМАО-Югры – на сумму 2 800 394,00 рублей или 100%.</w:t>
                  </w:r>
                </w:p>
                <w:p w:rsidR="009F54AC" w:rsidRDefault="0059407B">
                  <w:pPr>
                    <w:ind w:firstLine="700"/>
                    <w:jc w:val="both"/>
                  </w:pPr>
                  <w:r>
                    <w:rPr>
                      <w:color w:val="000000"/>
                      <w:sz w:val="28"/>
                      <w:szCs w:val="28"/>
                    </w:rPr>
                    <w:t>Удельный вес иных межбюджетных трансфертов в структуре безвозмездных поступлений от других бюджетов бюджетной системы составил 12,4%.</w:t>
                  </w:r>
                </w:p>
                <w:p w:rsidR="009F54AC" w:rsidRDefault="0059407B">
                  <w:pPr>
                    <w:ind w:firstLine="700"/>
                    <w:jc w:val="both"/>
                  </w:pPr>
                  <w:r>
                    <w:rPr>
                      <w:color w:val="000000"/>
                      <w:sz w:val="28"/>
                      <w:szCs w:val="28"/>
                    </w:rPr>
                    <w:t>В отчётном году поступили прочие безвозмездные поступления в бюджеты городских округов в сумме 40 267 253,69 рублей, в том числе:</w:t>
                  </w:r>
                </w:p>
                <w:p w:rsidR="009F54AC" w:rsidRDefault="0059407B">
                  <w:pPr>
                    <w:ind w:firstLine="700"/>
                    <w:jc w:val="both"/>
                  </w:pPr>
                  <w:r>
                    <w:rPr>
                      <w:color w:val="000000"/>
                      <w:sz w:val="28"/>
                      <w:szCs w:val="28"/>
                    </w:rPr>
                    <w:t>- от государственных (муниципальных) организаций в сумме 1 153 928,12 рублей по предписанию контрольно-ревизионного отдела произведён возврат субсидий по муниципальному заданию; </w:t>
                  </w:r>
                </w:p>
                <w:p w:rsidR="009F54AC" w:rsidRDefault="0059407B">
                  <w:pPr>
                    <w:ind w:firstLine="700"/>
                    <w:jc w:val="both"/>
                  </w:pPr>
                  <w:r>
                    <w:rPr>
                      <w:color w:val="000000"/>
                      <w:sz w:val="28"/>
                      <w:szCs w:val="28"/>
                    </w:rPr>
                    <w:t>- возвраты в ООО «РН-Юганскнефтегаз» в сумме -90 886 674,43 рублей по протоколу б/н от 18.12.2023 за неисполнение обязательств в срок; </w:t>
                  </w:r>
                </w:p>
                <w:p w:rsidR="009F54AC" w:rsidRDefault="0059407B">
                  <w:pPr>
                    <w:ind w:firstLine="700"/>
                    <w:jc w:val="both"/>
                  </w:pPr>
                  <w:r>
                    <w:rPr>
                      <w:color w:val="000000"/>
                      <w:sz w:val="28"/>
                      <w:szCs w:val="28"/>
                    </w:rPr>
                    <w:t>- по договору целевого пожертвования N 2142024/2270Д от 12.07.2024 с ООО «РН-Юганскнефтегаз» на реконструкцию путепровода через железнодорожные пути в г.Пыть-Ях в сумме 130 000 000,00 рублей.</w:t>
                  </w:r>
                </w:p>
                <w:p w:rsidR="009F54AC" w:rsidRDefault="0059407B">
                  <w:pPr>
                    <w:ind w:firstLine="700"/>
                    <w:jc w:val="both"/>
                  </w:pPr>
                  <w:r>
                    <w:rPr>
                      <w:b/>
                      <w:bCs/>
                      <w:color w:val="000000"/>
                      <w:sz w:val="28"/>
                      <w:szCs w:val="28"/>
                    </w:rPr>
                    <w:t>РАСХОДЫ</w:t>
                  </w:r>
                </w:p>
                <w:p w:rsidR="009F54AC" w:rsidRDefault="0059407B">
                  <w:pPr>
                    <w:ind w:firstLine="700"/>
                    <w:jc w:val="both"/>
                  </w:pPr>
                  <w:r>
                    <w:rPr>
                      <w:color w:val="000000"/>
                      <w:sz w:val="28"/>
                      <w:szCs w:val="28"/>
                    </w:rPr>
                    <w:t>Расходная часть бюджета в 2024 году исполнена в сумме 5 465 220 492,58 рублей. Плановые показатели бюджета на 2024 год исполнены на 94,9%. </w:t>
                  </w:r>
                </w:p>
                <w:p w:rsidR="009F54AC" w:rsidRDefault="0059407B">
                  <w:pPr>
                    <w:ind w:firstLine="700"/>
                    <w:jc w:val="both"/>
                  </w:pPr>
                  <w:r>
                    <w:rPr>
                      <w:b/>
                      <w:bCs/>
                      <w:color w:val="000000"/>
                      <w:sz w:val="28"/>
                      <w:szCs w:val="28"/>
                    </w:rPr>
                    <w:t>Раздел 0100 «Общегосударственные вопросы»</w:t>
                  </w:r>
                </w:p>
                <w:p w:rsidR="009F54AC" w:rsidRDefault="0059407B">
                  <w:pPr>
                    <w:ind w:firstLine="700"/>
                    <w:jc w:val="both"/>
                  </w:pPr>
                  <w:r>
                    <w:rPr>
                      <w:color w:val="000000"/>
                      <w:sz w:val="28"/>
                      <w:szCs w:val="28"/>
                    </w:rPr>
                    <w:t>Расходные обязательства муниципального образования городской округ Пыть-Ях 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25.06.2005 № 516 (в редакции от 14.11.2024 №295), Федеральным законом от 06.10.2003 № 131-ФЗ «Об общих принципах организации местного самоуправления в Российской Федерации» и Регламентом Думы города Пыть-Яха, утвержденного решением Думы города Пыть-Яха от 26.12.2019 № 299 (в редакции от 27.05.2024 №258).</w:t>
                  </w:r>
                </w:p>
                <w:p w:rsidR="009F54AC" w:rsidRDefault="0059407B">
                  <w:pPr>
                    <w:ind w:firstLine="700"/>
                    <w:jc w:val="both"/>
                  </w:pPr>
                  <w:r>
                    <w:rPr>
                      <w:b/>
                      <w:bCs/>
                      <w:color w:val="000000"/>
                      <w:sz w:val="28"/>
                      <w:szCs w:val="28"/>
                    </w:rPr>
                    <w:lastRenderedPageBreak/>
                    <w:t>Сети, штаты, контингенты.</w:t>
                  </w:r>
                </w:p>
                <w:p w:rsidR="009F54AC" w:rsidRDefault="0059407B">
                  <w:pPr>
                    <w:ind w:firstLine="700"/>
                    <w:jc w:val="both"/>
                  </w:pPr>
                  <w:r>
                    <w:rPr>
                      <w:color w:val="000000"/>
                      <w:sz w:val="28"/>
                      <w:szCs w:val="28"/>
                    </w:rPr>
                    <w:t>На конец 2024 года по данному разделу содержится 5 учреждений:</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МКУ Дума города Пыть-Яха;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МКУ Счётно-контрольная палата города Пыть-Яха;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МКУ Администрация города Пыть-Яха;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МКУ «Центр бухгалтерского и комплексного обслуживания муниципальных учреждений города Пыть-Ях»; </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МКУ «Управление материально-технического обеспечения органов местного самоуправления города Пыть-Яха».</w:t>
                        </w:r>
                      </w:p>
                    </w:tc>
                  </w:tr>
                </w:tbl>
                <w:p w:rsidR="009F54AC" w:rsidRDefault="0059407B">
                  <w:pPr>
                    <w:ind w:left="700"/>
                    <w:jc w:val="both"/>
                  </w:pPr>
                  <w:r>
                    <w:rPr>
                      <w:color w:val="000000"/>
                      <w:sz w:val="28"/>
                      <w:szCs w:val="28"/>
                    </w:rPr>
                    <w:t>         </w:t>
                  </w:r>
                </w:p>
                <w:p w:rsidR="009F54AC" w:rsidRDefault="0059407B">
                  <w:pPr>
                    <w:ind w:firstLine="700"/>
                    <w:jc w:val="both"/>
                  </w:pPr>
                  <w:r>
                    <w:rPr>
                      <w:color w:val="000000"/>
                      <w:sz w:val="28"/>
                      <w:szCs w:val="28"/>
                    </w:rPr>
                    <w:t>По сравнению с 2023 годом количество органов местного самоуправления не изменилось.</w:t>
                  </w:r>
                </w:p>
                <w:p w:rsidR="009F54AC" w:rsidRDefault="0059407B">
                  <w:pPr>
                    <w:ind w:right="-20" w:firstLine="700"/>
                    <w:jc w:val="both"/>
                  </w:pPr>
                  <w:r>
                    <w:rPr>
                      <w:color w:val="000000"/>
                      <w:sz w:val="28"/>
                      <w:szCs w:val="28"/>
                    </w:rPr>
                    <w:t xml:space="preserve">По разделу </w:t>
                  </w:r>
                  <w:r>
                    <w:rPr>
                      <w:b/>
                      <w:bCs/>
                      <w:color w:val="000000"/>
                      <w:sz w:val="28"/>
                      <w:szCs w:val="28"/>
                    </w:rPr>
                    <w:t>01 02 </w:t>
                  </w:r>
                  <w:r>
                    <w:rPr>
                      <w:color w:val="000000"/>
                      <w:sz w:val="28"/>
                      <w:szCs w:val="28"/>
                    </w:rPr>
                    <w:t>«Функционирование высшего должностного лица субъекта Российской Федерации и муниципального образования»</w:t>
                  </w:r>
                  <w:r>
                    <w:rPr>
                      <w:b/>
                      <w:bCs/>
                      <w:color w:val="000000"/>
                      <w:sz w:val="28"/>
                      <w:szCs w:val="28"/>
                    </w:rPr>
                    <w:t> </w:t>
                  </w:r>
                  <w:r>
                    <w:rPr>
                      <w:color w:val="000000"/>
                      <w:sz w:val="28"/>
                      <w:szCs w:val="28"/>
                    </w:rPr>
                    <w:t>отражены расходы на содержание одной штатной единицы - Главы города Пыть-Яха, который в соответствии со статьей 24 Устава города Пыть-Яха, утверждённого решением Думы г. Пыть-Яха от 25.06.2005 г. № 516 (в редакции от 14.11.2024 №295), является высшим должностным лицом города Пыть-Яха, наделенным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В сравнении с 2023 годом количество штатных единиц не изменилось. Решением Думы города от 15.11.2023 № 218 «Об избрании Главы города Пыть-Яха» Глава города осуществляет свои полномочия на постоянной основе с 15.11.2023 года.</w:t>
                  </w:r>
                </w:p>
                <w:p w:rsidR="009F54AC" w:rsidRDefault="0059407B">
                  <w:pPr>
                    <w:ind w:firstLine="700"/>
                    <w:jc w:val="both"/>
                  </w:pPr>
                  <w:r>
                    <w:rPr>
                      <w:b/>
                      <w:bCs/>
                      <w:color w:val="000000"/>
                      <w:sz w:val="28"/>
                      <w:szCs w:val="28"/>
                    </w:rPr>
                    <w:t>По разделу</w:t>
                  </w:r>
                  <w:r>
                    <w:rPr>
                      <w:color w:val="000000"/>
                      <w:sz w:val="28"/>
                      <w:szCs w:val="28"/>
                    </w:rPr>
                    <w:t> </w:t>
                  </w:r>
                  <w:r>
                    <w:rPr>
                      <w:b/>
                      <w:bCs/>
                      <w:color w:val="000000"/>
                      <w:sz w:val="28"/>
                      <w:szCs w:val="28"/>
                    </w:rPr>
                    <w:t>01 03 </w:t>
                  </w:r>
                  <w:r>
                    <w:rPr>
                      <w:color w:val="000000"/>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r>
                    <w:rPr>
                      <w:b/>
                      <w:bCs/>
                      <w:color w:val="000000"/>
                      <w:sz w:val="28"/>
                      <w:szCs w:val="28"/>
                    </w:rPr>
                    <w:t> </w:t>
                  </w:r>
                  <w:r>
                    <w:rPr>
                      <w:color w:val="000000"/>
                      <w:sz w:val="28"/>
                      <w:szCs w:val="28"/>
                    </w:rPr>
                    <w:t>отражены расходы по содержанию председателя и заместителя председателя Думы города Пыть-Яха, а также  п</w:t>
                  </w:r>
                  <w:r>
                    <w:rPr>
                      <w:color w:val="000000"/>
                      <w:sz w:val="28"/>
                      <w:szCs w:val="28"/>
                      <w:shd w:val="clear" w:color="auto" w:fill="FFFFFF"/>
                    </w:rPr>
                    <w:t>остоянно действующего структурного подразделения</w:t>
                  </w:r>
                  <w:r>
                    <w:rPr>
                      <w:color w:val="000000"/>
                      <w:sz w:val="28"/>
                      <w:szCs w:val="28"/>
                    </w:rPr>
                    <w:t> Думы города Пыть-Яха, действующих на основании Устава города Пыть-Яха, утверждённого решением Думы г. Пыть-Яха от 25.06.2005 № 516 ( в редакции от 14.11.2024 №295), и Регламента Думы города Пыть-Яха, утвержденного решением Думы г. Пыть-Яха от 26.12.2019 № 299 (в редакции от 27.04.2024 №258). Дума города Пыть-Яха наделена правами юридического лица. Структурное подразделение Думы создано для правового, организационного, информационного обеспечения деятельности Думы, оказания консультативной помощи депутатским комиссиям Думы города.  </w:t>
                  </w:r>
                </w:p>
                <w:p w:rsidR="009F54AC" w:rsidRDefault="0059407B">
                  <w:pPr>
                    <w:ind w:firstLine="700"/>
                    <w:jc w:val="both"/>
                  </w:pPr>
                  <w:r>
                    <w:rPr>
                      <w:color w:val="000000"/>
                      <w:sz w:val="28"/>
                      <w:szCs w:val="28"/>
                    </w:rPr>
                    <w:t>Плановая штатная численность утверждена в количестве 7 штатных единиц постановлением Председателя Думы г. Пыть-Яха от 21.12.2023 № 34. Фактически замещено и среднесписочная численность – 7 единиц.</w:t>
                  </w:r>
                </w:p>
                <w:p w:rsidR="009F54AC" w:rsidRDefault="0059407B">
                  <w:pPr>
                    <w:ind w:firstLine="700"/>
                    <w:jc w:val="both"/>
                  </w:pPr>
                  <w:r>
                    <w:rPr>
                      <w:color w:val="000000"/>
                      <w:sz w:val="28"/>
                      <w:szCs w:val="28"/>
                    </w:rPr>
                    <w:t>По сравнению с численностью 2023 годом численность не изменилась. </w:t>
                  </w:r>
                </w:p>
                <w:p w:rsidR="009F54AC" w:rsidRDefault="0059407B">
                  <w:pPr>
                    <w:ind w:right="-20" w:firstLine="540"/>
                    <w:jc w:val="both"/>
                  </w:pPr>
                  <w:r>
                    <w:rPr>
                      <w:b/>
                      <w:bCs/>
                      <w:color w:val="000000"/>
                      <w:sz w:val="28"/>
                      <w:szCs w:val="28"/>
                    </w:rPr>
                    <w:t>По подразделу</w:t>
                  </w:r>
                  <w:r>
                    <w:rPr>
                      <w:color w:val="000000"/>
                      <w:sz w:val="28"/>
                      <w:szCs w:val="28"/>
                    </w:rPr>
                    <w:t> </w:t>
                  </w:r>
                  <w:r>
                    <w:rPr>
                      <w:b/>
                      <w:bCs/>
                      <w:color w:val="000000"/>
                      <w:sz w:val="28"/>
                      <w:szCs w:val="28"/>
                    </w:rPr>
                    <w:t>01 04</w:t>
                  </w:r>
                  <w:r>
                    <w:rPr>
                      <w:color w:val="000000"/>
                      <w:sz w:val="28"/>
                      <w:szCs w:val="28"/>
                    </w:rPr>
                    <w:t>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отражены расходы по материально-</w:t>
                  </w:r>
                  <w:r>
                    <w:rPr>
                      <w:color w:val="000000"/>
                      <w:sz w:val="28"/>
                      <w:szCs w:val="28"/>
                    </w:rPr>
                    <w:lastRenderedPageBreak/>
                    <w:t>техническому и финансовому обеспечению деятельности органов местного самоуправления.</w:t>
                  </w:r>
                </w:p>
                <w:p w:rsidR="009F54AC" w:rsidRDefault="0059407B">
                  <w:pPr>
                    <w:ind w:right="-20" w:firstLine="540"/>
                    <w:jc w:val="both"/>
                  </w:pPr>
                  <w:r>
                    <w:rPr>
                      <w:color w:val="000000"/>
                      <w:sz w:val="28"/>
                      <w:szCs w:val="28"/>
                    </w:rPr>
                    <w:t> По данному подразделу количество должностей, утвержденных в штатном расписании увеличилось на 2 единицы к показателю 2023 года (52 единиц) и составляет 54 единицы. Фактически занято на отчётную дату 54 штатные единицы или 100% от плана. Среднесписочная численность составила 51 единиц.</w:t>
                  </w:r>
                </w:p>
                <w:p w:rsidR="009F54AC" w:rsidRDefault="0059407B">
                  <w:pPr>
                    <w:ind w:firstLine="700"/>
                    <w:jc w:val="both"/>
                  </w:pPr>
                  <w:r>
                    <w:rPr>
                      <w:color w:val="000000"/>
                      <w:sz w:val="28"/>
                      <w:szCs w:val="28"/>
                    </w:rPr>
                    <w:t>По подразделу 01 04 внесены изменения:</w:t>
                  </w:r>
                </w:p>
                <w:p w:rsidR="009F54AC" w:rsidRDefault="0059407B">
                  <w:pPr>
                    <w:ind w:right="-20" w:firstLine="540"/>
                    <w:jc w:val="both"/>
                  </w:pPr>
                  <w:r>
                    <w:rPr>
                      <w:color w:val="000000"/>
                      <w:sz w:val="28"/>
                      <w:szCs w:val="28"/>
                    </w:rPr>
                    <w:t> - распоряжением администрации города от 11.06.2024 №1052-ра, с 17.06.2024 года введена 1 штатная единица «помощник (советник) главы города». Данная единица переведена из раздела 0505;</w:t>
                  </w:r>
                </w:p>
                <w:p w:rsidR="009F54AC" w:rsidRDefault="0059407B">
                  <w:pPr>
                    <w:ind w:right="-20" w:firstLine="700"/>
                    <w:jc w:val="both"/>
                  </w:pPr>
                  <w:r>
                    <w:rPr>
                      <w:color w:val="000000"/>
                      <w:sz w:val="28"/>
                      <w:szCs w:val="28"/>
                    </w:rPr>
                    <w:t>- распоряжением администрации города от 30.08.2024 №1630-ра внесены изменения в штатном расписании администрации города, где введена (+) 1 штатная единица консультанта управления по информационным технологиям администрации города (переведена из раздела 0106).</w:t>
                  </w:r>
                </w:p>
                <w:p w:rsidR="009F54AC" w:rsidRDefault="0059407B">
                  <w:pPr>
                    <w:ind w:firstLine="700"/>
                    <w:jc w:val="both"/>
                  </w:pPr>
                  <w:r>
                    <w:rPr>
                      <w:b/>
                      <w:bCs/>
                      <w:color w:val="000000"/>
                      <w:sz w:val="28"/>
                      <w:szCs w:val="28"/>
                    </w:rPr>
                    <w:t>По подразделу 01 06</w:t>
                  </w:r>
                  <w:r>
                    <w:rPr>
                      <w:color w:val="000000"/>
                      <w:sz w:val="28"/>
                      <w:szCs w:val="28"/>
                    </w:rPr>
                    <w:t> «Обеспечение деятельности финансовых, налоговых и таможенных органов и органов финансового (финансово-бюджетного) надзора»</w:t>
                  </w:r>
                  <w:r>
                    <w:rPr>
                      <w:b/>
                      <w:bCs/>
                      <w:color w:val="000000"/>
                      <w:sz w:val="28"/>
                      <w:szCs w:val="28"/>
                    </w:rPr>
                    <w:t> </w:t>
                  </w:r>
                  <w:r>
                    <w:rPr>
                      <w:color w:val="000000"/>
                      <w:sz w:val="28"/>
                      <w:szCs w:val="28"/>
                    </w:rPr>
                    <w:t>отражаются расходы на содержание счётно-контрольной палаты города Пыть-Яха и комитета по финансам администрации г. Пыть-Яха.  По состоянию на 31.12.2024 года утверждено 22 штатных единиц, из них Счётно-контрольная палата 5 единиц и комитет по финансам администрации города – 17. В сравнении с 2023 годом количество штатных единиц в штатном расписании уменьшилось на 1 единицу, в связи с передачей одной штатной единицы в управление по информационным технологиям. Фактически замещено и среднесписочная численность на отчётную дату составило 21, из них 5 единиц Счётно-контрольная палата и 16 единиц комитет по финансам администрации города.</w:t>
                  </w:r>
                </w:p>
                <w:p w:rsidR="009F54AC" w:rsidRDefault="0059407B">
                  <w:pPr>
                    <w:ind w:firstLine="700"/>
                    <w:jc w:val="both"/>
                  </w:pPr>
                  <w:r>
                    <w:rPr>
                      <w:b/>
                      <w:bCs/>
                      <w:color w:val="000000"/>
                      <w:sz w:val="28"/>
                      <w:szCs w:val="28"/>
                    </w:rPr>
                    <w:t>По подразделу</w:t>
                  </w:r>
                  <w:r>
                    <w:rPr>
                      <w:color w:val="000000"/>
                      <w:sz w:val="28"/>
                      <w:szCs w:val="28"/>
                    </w:rPr>
                    <w:t> </w:t>
                  </w:r>
                  <w:r>
                    <w:rPr>
                      <w:b/>
                      <w:bCs/>
                      <w:color w:val="000000"/>
                      <w:sz w:val="28"/>
                      <w:szCs w:val="28"/>
                    </w:rPr>
                    <w:t>01 13 </w:t>
                  </w:r>
                  <w:r>
                    <w:rPr>
                      <w:color w:val="000000"/>
                      <w:sz w:val="28"/>
                      <w:szCs w:val="28"/>
                    </w:rPr>
                    <w:t>«Другие общегосударственные вопросы» утверждено на отчетный период 215 штатных единиц, из них:</w:t>
                  </w:r>
                </w:p>
                <w:p w:rsidR="009F54AC" w:rsidRDefault="0059407B">
                  <w:pPr>
                    <w:ind w:right="-20" w:firstLine="700"/>
                    <w:jc w:val="both"/>
                  </w:pPr>
                  <w:r>
                    <w:rPr>
                      <w:color w:val="000000"/>
                      <w:sz w:val="28"/>
                      <w:szCs w:val="28"/>
                    </w:rPr>
                    <w:t>- отдел по обеспечению деятельности муниципальной комиссии по делам несовершеннолетних и защите их прав, в соответствии со статьёй 5 главы 3 Закона ХМАО - Югры от 12.10.2005 N 74-оз (ред. от 28.09.2023 №65-оз) «О комиссиях по делам несовершеннолетних и защите их прав в Ханты-Мансийском автономном округе -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 – 3 единицы.  В сравнении с 2023 годом количество штатных единиц не изменилось;</w:t>
                  </w:r>
                </w:p>
                <w:p w:rsidR="009F54AC" w:rsidRDefault="0059407B">
                  <w:pPr>
                    <w:ind w:firstLine="700"/>
                    <w:jc w:val="both"/>
                  </w:pPr>
                  <w:r>
                    <w:rPr>
                      <w:color w:val="000000"/>
                      <w:sz w:val="28"/>
                      <w:szCs w:val="28"/>
                    </w:rPr>
                    <w:t>- секретарь административной комиссии в соответствии со статьёй 4 главы 2 Закона ХМАО - Югры от 02.03.2009 N 5-оз (ред. от 13.03.2023 №12-оз) «Об административных комиссиях в Ханты-Мансийском автономном округе – Югре» (в составе отдела по работе с комиссиями и советом по коррупции) - 1 единица, в течении отчетного периода данная штатная единица занята;</w:t>
                  </w:r>
                </w:p>
                <w:p w:rsidR="009F54AC" w:rsidRDefault="0059407B">
                  <w:pPr>
                    <w:ind w:right="-20" w:firstLine="700"/>
                    <w:jc w:val="both"/>
                  </w:pPr>
                  <w:r>
                    <w:rPr>
                      <w:color w:val="000000"/>
                      <w:sz w:val="28"/>
                      <w:szCs w:val="28"/>
                    </w:rPr>
                    <w:t xml:space="preserve">- управление по внутренней политике администрации города отражены 11 штатных единиц, фактически занято 10 штатных единиц, среднесписочная </w:t>
                  </w:r>
                  <w:r>
                    <w:rPr>
                      <w:color w:val="000000"/>
                      <w:sz w:val="28"/>
                      <w:szCs w:val="28"/>
                    </w:rPr>
                    <w:lastRenderedPageBreak/>
                    <w:t>численность за отчетный период составила 10 человек, вакантна 1 шт.ед. консультанта. В сравнении с отчетным периодом 2023 года численность осталась неизменна;</w:t>
                  </w:r>
                </w:p>
                <w:p w:rsidR="009F54AC" w:rsidRDefault="0059407B">
                  <w:pPr>
                    <w:ind w:right="-20" w:firstLine="700"/>
                    <w:jc w:val="both"/>
                  </w:pPr>
                  <w:r>
                    <w:rPr>
                      <w:color w:val="000000"/>
                      <w:sz w:val="28"/>
                      <w:szCs w:val="28"/>
                    </w:rPr>
                    <w:t>- управление делами города отражены 10 штатных единиц, фактически заняты все должности. В сравнении с отчетным периодом 2023 года численность осталась неизменна; </w:t>
                  </w:r>
                </w:p>
                <w:p w:rsidR="009F54AC" w:rsidRDefault="0059407B">
                  <w:pPr>
                    <w:ind w:firstLine="700"/>
                    <w:jc w:val="both"/>
                  </w:pPr>
                  <w:r>
                    <w:rPr>
                      <w:color w:val="000000"/>
                      <w:sz w:val="28"/>
                      <w:szCs w:val="28"/>
                    </w:rPr>
                    <w:t>- МКУ «УМТО города Пыть-Яха» -72 штатных единиц. В сравнение с прошлым 2023 годом увеличилось на 1 единицу. Фактически занято – 66 единиц и среднесписочная численность составила 67 единицы;</w:t>
                  </w:r>
                </w:p>
                <w:p w:rsidR="009F54AC" w:rsidRDefault="0059407B">
                  <w:pPr>
                    <w:ind w:firstLine="700"/>
                    <w:jc w:val="both"/>
                  </w:pPr>
                  <w:r>
                    <w:rPr>
                      <w:color w:val="000000"/>
                      <w:sz w:val="28"/>
                      <w:szCs w:val="28"/>
                    </w:rPr>
                    <w:t>- МКУ «ЦБ и КОМУ города Пыть-Яха» 118 штатных единиц. Фактически занято 108 штатных единиц. Среднесписочная численность 104 единиц.</w:t>
                  </w:r>
                </w:p>
                <w:p w:rsidR="009F54AC" w:rsidRDefault="0059407B">
                  <w:pPr>
                    <w:ind w:firstLine="700"/>
                    <w:jc w:val="both"/>
                  </w:pPr>
                  <w:r>
                    <w:rPr>
                      <w:b/>
                      <w:bCs/>
                      <w:color w:val="000000"/>
                      <w:sz w:val="28"/>
                      <w:szCs w:val="28"/>
                    </w:rPr>
                    <w:t>Расходы</w:t>
                  </w:r>
                </w:p>
                <w:p w:rsidR="009F54AC" w:rsidRDefault="0059407B">
                  <w:pPr>
                    <w:ind w:firstLine="700"/>
                    <w:jc w:val="both"/>
                  </w:pPr>
                  <w:r>
                    <w:rPr>
                      <w:color w:val="000000"/>
                      <w:sz w:val="28"/>
                      <w:szCs w:val="28"/>
                    </w:rPr>
                    <w:t>Решением Думы города Пыть-Яха от 11.12.2023 № 221 «О бюджете города Пыть-Яха на 2024 год и на плановый период 2025 и 2026 годов» (в ред. от 08.04.2024 № 252, от 05.08.2024 № 268, от 18.10.2024 № 294, от 21.11.2024 № 303) по разделу 01 00 «Общегосударственные вопросы» утверждено 621 317 448,44 рублей. В соответствии с пунктом 3 статьи 217 Бюджетного кодекса Российской Федерации, статьей 6 решения Думы города Пыть-Яха от 11.12.2023 № 221 «О бюджете города Пыть-Яха на 2024 год и на плановый период 2025 и 2026 годов» были внесены изменения в сумме (-) 17 049 895,97 рублей. Уточнённый план на конец отчётного периода составил 604 267 552,47 рублей.</w:t>
                  </w:r>
                </w:p>
                <w:p w:rsidR="009F54AC" w:rsidRDefault="0059407B">
                  <w:pPr>
                    <w:ind w:firstLine="700"/>
                    <w:jc w:val="both"/>
                  </w:pPr>
                  <w:r>
                    <w:rPr>
                      <w:color w:val="000000"/>
                      <w:sz w:val="28"/>
                      <w:szCs w:val="28"/>
                    </w:rPr>
                    <w:t>В целом по данному разделу расходы за отчетный период составили 597 777 620,70 рублей или 99,0% к уточнённым бюджетным ассигнованиям. </w:t>
                  </w:r>
                </w:p>
                <w:p w:rsidR="009F54AC" w:rsidRDefault="0059407B">
                  <w:pPr>
                    <w:ind w:firstLine="700"/>
                    <w:jc w:val="both"/>
                  </w:pPr>
                  <w:r>
                    <w:rPr>
                      <w:color w:val="000000"/>
                      <w:sz w:val="28"/>
                      <w:szCs w:val="28"/>
                    </w:rPr>
                    <w:t>Расходы произведены в пределах бюджетных ассигнований и лимитов бюджетных обязательств в соответствии с принятыми бюджетными обязательствами. </w:t>
                  </w:r>
                </w:p>
                <w:p w:rsidR="009F54AC" w:rsidRDefault="0059407B">
                  <w:pPr>
                    <w:ind w:firstLine="700"/>
                    <w:jc w:val="both"/>
                  </w:pPr>
                  <w:r>
                    <w:rPr>
                      <w:color w:val="000000"/>
                      <w:sz w:val="28"/>
                      <w:szCs w:val="28"/>
                    </w:rPr>
                    <w:t>Исполнение по подразделам функциональной структуры расходов бюджета за отчетный период составило:</w:t>
                  </w:r>
                </w:p>
                <w:p w:rsidR="009F54AC" w:rsidRDefault="0059407B">
                  <w:pPr>
                    <w:ind w:firstLine="700"/>
                    <w:jc w:val="both"/>
                  </w:pPr>
                  <w:r>
                    <w:rPr>
                      <w:b/>
                      <w:bCs/>
                      <w:color w:val="000000"/>
                      <w:sz w:val="28"/>
                      <w:szCs w:val="28"/>
                    </w:rPr>
                    <w:t>Подраздел 01 02</w:t>
                  </w:r>
                  <w:r>
                    <w:rPr>
                      <w:color w:val="000000"/>
                      <w:sz w:val="28"/>
                      <w:szCs w:val="28"/>
                    </w:rPr>
                    <w:t> «Высшее должностное лицо органа местного самоуправления». В 2024 году по подразделу 01 02 план утверждён в сумме 9 632 779,10 рублей, кассовое исполнение составило 9 508 861,27 рублей или 98,7% от уточнённого плана. Расходы направлены на оплату труда, взносы во внебюджетные фонды, оплату командировок.</w:t>
                  </w:r>
                </w:p>
                <w:p w:rsidR="009F54AC" w:rsidRDefault="0059407B">
                  <w:pPr>
                    <w:ind w:firstLine="700"/>
                    <w:jc w:val="both"/>
                  </w:pPr>
                  <w:r>
                    <w:rPr>
                      <w:b/>
                      <w:bCs/>
                      <w:color w:val="000000"/>
                      <w:sz w:val="28"/>
                      <w:szCs w:val="28"/>
                    </w:rPr>
                    <w:t>Подраздел 01 03 </w:t>
                  </w:r>
                  <w:r>
                    <w:rPr>
                      <w:color w:val="000000"/>
                      <w:sz w:val="28"/>
                      <w:szCs w:val="28"/>
                    </w:rPr>
                    <w:t>«Функционирование законодательных (представительных) органов государственной власти и органов местного самоуправления». </w:t>
                  </w:r>
                </w:p>
                <w:p w:rsidR="009F54AC" w:rsidRDefault="0059407B">
                  <w:pPr>
                    <w:ind w:firstLine="700"/>
                    <w:jc w:val="both"/>
                  </w:pPr>
                  <w:r>
                    <w:rPr>
                      <w:color w:val="000000"/>
                      <w:sz w:val="28"/>
                      <w:szCs w:val="28"/>
                    </w:rPr>
                    <w:t>Расходы направленны на обеспечение выполнения функций МКУ Дума города Пыть-Яха, созданного на праве юридического лица. </w:t>
                  </w:r>
                </w:p>
                <w:p w:rsidR="009F54AC" w:rsidRDefault="0059407B">
                  <w:pPr>
                    <w:ind w:firstLine="580"/>
                    <w:jc w:val="both"/>
                  </w:pPr>
                  <w:r>
                    <w:rPr>
                      <w:color w:val="000000"/>
                      <w:sz w:val="28"/>
                      <w:szCs w:val="28"/>
                    </w:rPr>
                    <w:t>План на 2024 год утверждён в сумме 24 661 318,94 рублей, исполнение составило 22 718 011,57 рублей или 92,1% к плану. Расходы направлены на оплату труда, взносы во внебюджетные фонды, оплату командировочных расходов, оплату компенсации расходов на проезд и провоз багажа к месту использования отпуска и обратно.</w:t>
                  </w:r>
                </w:p>
                <w:p w:rsidR="009F54AC" w:rsidRDefault="0059407B">
                  <w:pPr>
                    <w:ind w:right="-20" w:firstLine="580"/>
                    <w:jc w:val="both"/>
                  </w:pPr>
                  <w:r>
                    <w:rPr>
                      <w:b/>
                      <w:bCs/>
                      <w:color w:val="000000"/>
                      <w:sz w:val="28"/>
                      <w:szCs w:val="28"/>
                    </w:rPr>
                    <w:t>Подраздел 01 04 </w:t>
                  </w:r>
                  <w:r>
                    <w:rPr>
                      <w:color w:val="000000"/>
                      <w:sz w:val="28"/>
                      <w:szCs w:val="28"/>
                    </w:rPr>
                    <w:t>«Функционирование исполнительных органов местного самоуправления».</w:t>
                  </w:r>
                </w:p>
                <w:p w:rsidR="009F54AC" w:rsidRDefault="0059407B">
                  <w:pPr>
                    <w:ind w:right="-20" w:firstLine="580"/>
                    <w:jc w:val="both"/>
                  </w:pPr>
                  <w:r>
                    <w:rPr>
                      <w:color w:val="000000"/>
                      <w:sz w:val="28"/>
                      <w:szCs w:val="28"/>
                    </w:rPr>
                    <w:t xml:space="preserve">В рамках муниципальной программы «Развитие муниципальной службы в городе Пыть-Яхе» предусмотрены расходы на обеспечение выполнения функций </w:t>
                  </w:r>
                  <w:r>
                    <w:rPr>
                      <w:color w:val="000000"/>
                      <w:sz w:val="28"/>
                      <w:szCs w:val="28"/>
                    </w:rPr>
                    <w:lastRenderedPageBreak/>
                    <w:t>Администрации города Пыть-Яха исполнительно-распорядительного органа муниципального образования, наделённого правами юридического лица. </w:t>
                  </w:r>
                </w:p>
                <w:p w:rsidR="009F54AC" w:rsidRDefault="0059407B">
                  <w:pPr>
                    <w:ind w:firstLine="580"/>
                    <w:jc w:val="both"/>
                  </w:pPr>
                  <w:r>
                    <w:rPr>
                      <w:color w:val="000000"/>
                      <w:sz w:val="28"/>
                      <w:szCs w:val="28"/>
                    </w:rPr>
                    <w:t>Исполнение составило 144 664 570,70 рублей или 99,8 % к плановым назначениям в сумме 144 934 040,84 рублей. Расходы направлены на оплату труда, взносы во внебюджетные фонды, оплату командировочных расходов, оплату компенсации расходов на проезд и провоз багажа к месту использования отпуска и обратно, налоги, пошлины, штрафы.</w:t>
                  </w:r>
                </w:p>
                <w:p w:rsidR="009F54AC" w:rsidRDefault="0059407B">
                  <w:pPr>
                    <w:ind w:firstLine="700"/>
                    <w:jc w:val="both"/>
                  </w:pPr>
                  <w:r>
                    <w:rPr>
                      <w:b/>
                      <w:bCs/>
                      <w:color w:val="000000"/>
                      <w:sz w:val="28"/>
                      <w:szCs w:val="28"/>
                    </w:rPr>
                    <w:t>Подраздел 01 05 </w:t>
                  </w:r>
                  <w:r>
                    <w:rPr>
                      <w:color w:val="000000"/>
                      <w:sz w:val="28"/>
                      <w:szCs w:val="28"/>
                    </w:rPr>
                    <w:t>«Составление списка кандидатов в присяжные заседатели федеральных судов общей юрисдикции», плановые ассигнования составили 3 100,0 рублей, исполнено 100% от плановых назначений. </w:t>
                  </w:r>
                </w:p>
                <w:p w:rsidR="009F54AC" w:rsidRDefault="0059407B">
                  <w:pPr>
                    <w:ind w:firstLine="700"/>
                    <w:jc w:val="both"/>
                  </w:pPr>
                  <w:r>
                    <w:rPr>
                      <w:b/>
                      <w:bCs/>
                      <w:color w:val="000000"/>
                      <w:sz w:val="28"/>
                      <w:szCs w:val="28"/>
                    </w:rPr>
                    <w:t>Подраздел 01 06 </w:t>
                  </w:r>
                  <w:r>
                    <w:rPr>
                      <w:color w:val="000000"/>
                      <w:sz w:val="28"/>
                      <w:szCs w:val="28"/>
                    </w:rPr>
                    <w:t>«Обеспечение деятельности финансовых, налоговых органов надзора».</w:t>
                  </w:r>
                </w:p>
                <w:p w:rsidR="009F54AC" w:rsidRDefault="0059407B">
                  <w:pPr>
                    <w:ind w:firstLine="700"/>
                    <w:jc w:val="both"/>
                  </w:pPr>
                  <w:r>
                    <w:rPr>
                      <w:color w:val="000000"/>
                      <w:sz w:val="28"/>
                      <w:szCs w:val="28"/>
                    </w:rPr>
                    <w:t>По подразделу 01 06 запланированы расходы в сумме 35 788 463,86 рублей. Исполнение составило 35 786 558,04 рубля или 99,99% к плану отчетного периода.</w:t>
                  </w:r>
                </w:p>
                <w:p w:rsidR="009F54AC" w:rsidRDefault="0059407B">
                  <w:pPr>
                    <w:ind w:firstLine="700"/>
                    <w:jc w:val="both"/>
                  </w:pPr>
                  <w:r>
                    <w:rPr>
                      <w:color w:val="000000"/>
                      <w:sz w:val="28"/>
                      <w:szCs w:val="28"/>
                    </w:rPr>
                    <w:t> Расходы направлены:  </w:t>
                  </w:r>
                </w:p>
                <w:p w:rsidR="009F54AC" w:rsidRDefault="0059407B">
                  <w:pPr>
                    <w:ind w:firstLine="700"/>
                    <w:jc w:val="both"/>
                  </w:pPr>
                  <w:r>
                    <w:rPr>
                      <w:b/>
                      <w:bCs/>
                      <w:color w:val="000000"/>
                      <w:sz w:val="28"/>
                      <w:szCs w:val="28"/>
                    </w:rPr>
                    <w:t>- </w:t>
                  </w:r>
                  <w:r>
                    <w:rPr>
                      <w:color w:val="000000"/>
                      <w:sz w:val="28"/>
                      <w:szCs w:val="28"/>
                    </w:rPr>
                    <w:t>в рамках непрограммных расходов на содержание МКУ Счётно-контрольная палата города Пыть-Яха в сумме 17 015 608,33 рублей или 97,2% к плановым назначениям 17 510 242,00 рублей; </w:t>
                  </w:r>
                </w:p>
                <w:p w:rsidR="009F54AC" w:rsidRDefault="0059407B">
                  <w:pPr>
                    <w:ind w:firstLine="700"/>
                    <w:jc w:val="both"/>
                  </w:pPr>
                  <w:r>
                    <w:rPr>
                      <w:color w:val="000000"/>
                      <w:sz w:val="28"/>
                      <w:szCs w:val="28"/>
                    </w:rPr>
                    <w:t>- в рамках муниципальной программы «Развитие муниципальной службы в городе Пыть-Яхе» на содержание комитета по финансам администрации города расходы составили 35 786 558,04 рублей или 99,9% к плановым назначениям 35 788 463,86 рублей.  </w:t>
                  </w:r>
                </w:p>
                <w:p w:rsidR="009F54AC" w:rsidRDefault="0059407B">
                  <w:pPr>
                    <w:ind w:firstLine="700"/>
                    <w:jc w:val="both"/>
                  </w:pPr>
                  <w:r>
                    <w:rPr>
                      <w:color w:val="000000"/>
                      <w:sz w:val="28"/>
                      <w:szCs w:val="28"/>
                    </w:rPr>
                    <w:t>Расходы направлены на оплату труда, взносы во внебюджетные фонды, оплату командировочных расходов, оплату компенсации расходов на проезд и провоз багажа к месту использования отпуска и обратно.</w:t>
                  </w:r>
                </w:p>
                <w:p w:rsidR="009F54AC" w:rsidRDefault="0059407B">
                  <w:pPr>
                    <w:ind w:firstLine="700"/>
                    <w:jc w:val="both"/>
                  </w:pPr>
                  <w:r>
                    <w:rPr>
                      <w:b/>
                      <w:bCs/>
                      <w:color w:val="000000"/>
                      <w:sz w:val="28"/>
                      <w:szCs w:val="28"/>
                    </w:rPr>
                    <w:t>Подраздел 01 13 </w:t>
                  </w:r>
                  <w:r>
                    <w:rPr>
                      <w:color w:val="000000"/>
                      <w:sz w:val="28"/>
                      <w:szCs w:val="28"/>
                    </w:rPr>
                    <w:t>«Другие общегосударственные вопросы». Расходы на 2024 год запланированы в сумме 371 237 607,73 рублей.  Исполнение составило 368 080 910,79 рублей или 99,2% к плановым назначениям, в том числе:</w:t>
                  </w:r>
                </w:p>
                <w:p w:rsidR="009F54AC" w:rsidRDefault="0059407B">
                  <w:pPr>
                    <w:ind w:firstLine="580"/>
                    <w:jc w:val="both"/>
                  </w:pPr>
                  <w:r>
                    <w:rPr>
                      <w:color w:val="000000"/>
                      <w:sz w:val="28"/>
                      <w:szCs w:val="28"/>
                    </w:rPr>
                    <w:t xml:space="preserve">1. В рамках </w:t>
                  </w:r>
                  <w:r>
                    <w:rPr>
                      <w:b/>
                      <w:bCs/>
                      <w:color w:val="000000"/>
                      <w:sz w:val="28"/>
                      <w:szCs w:val="28"/>
                    </w:rPr>
                    <w:t>муниципальной программы «Социальное и демографическое развитие города Пыть-Яха»:</w:t>
                  </w:r>
                </w:p>
                <w:p w:rsidR="009F54AC" w:rsidRDefault="0059407B">
                  <w:pPr>
                    <w:ind w:firstLine="580"/>
                    <w:jc w:val="both"/>
                  </w:pPr>
                  <w:r>
                    <w:rPr>
                      <w:color w:val="000000"/>
                      <w:sz w:val="28"/>
                      <w:szCs w:val="28"/>
                    </w:rPr>
                    <w:t>а) плановые назначения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составили 7 215 199,00 рублей, исполнены в сумме 7 212 678,50 рублей или 99,9% от плановых назначений. Расходы направлены на материально-техническое и финансовое обеспечение деятельности органов местного самоуправления в части вопросов оплаты труда, взносов во внебюджетные фонды, оплату командировочных расходов, оплату компенсации расходов на проезд и провоз багажа к месту использования отпуска и обратно, оплату коммунальных услуг, связи и других расходов, обеспечивающих бесперебойное функционирование комиссии; </w:t>
                  </w:r>
                </w:p>
                <w:p w:rsidR="009F54AC" w:rsidRDefault="0059407B">
                  <w:pPr>
                    <w:ind w:firstLine="580"/>
                    <w:jc w:val="both"/>
                  </w:pPr>
                  <w:r>
                    <w:rPr>
                      <w:color w:val="000000"/>
                      <w:sz w:val="28"/>
                      <w:szCs w:val="28"/>
                    </w:rPr>
                    <w:t>б) в рамках реализаций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w:t>
                  </w:r>
                  <w:r>
                    <w:rPr>
                      <w:color w:val="000000"/>
                      <w:sz w:val="28"/>
                      <w:szCs w:val="28"/>
                    </w:rPr>
                    <w:lastRenderedPageBreak/>
                    <w:t>Ях запланированы и израсходованы 63 000,0 рублей на поставку товара для вручения призерам конкурса, а также на приобретение буклетов, баннера и цветочная продукция для награждения;</w:t>
                  </w:r>
                </w:p>
                <w:p w:rsidR="009F54AC" w:rsidRDefault="0059407B">
                  <w:pPr>
                    <w:ind w:firstLine="700"/>
                    <w:jc w:val="both"/>
                  </w:pPr>
                  <w:r>
                    <w:rPr>
                      <w:color w:val="000000"/>
                      <w:sz w:val="28"/>
                      <w:szCs w:val="28"/>
                    </w:rPr>
                    <w:t xml:space="preserve">2. В рамках реализации мероприятий по </w:t>
                  </w:r>
                  <w:r>
                    <w:rPr>
                      <w:b/>
                      <w:bCs/>
                      <w:color w:val="000000"/>
                      <w:sz w:val="28"/>
                      <w:szCs w:val="28"/>
                    </w:rPr>
                    <w:t>муниципальной программе «Профилактика правонарушений в городе Пыть-Яхе»:</w:t>
                  </w:r>
                </w:p>
                <w:p w:rsidR="009F54AC" w:rsidRDefault="0059407B">
                  <w:pPr>
                    <w:ind w:firstLine="700"/>
                    <w:jc w:val="both"/>
                  </w:pPr>
                  <w:r>
                    <w:rPr>
                      <w:color w:val="000000"/>
                      <w:sz w:val="28"/>
                      <w:szCs w:val="28"/>
                    </w:rPr>
                    <w:t>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произведены расходы в сумме 2 214 933,00 рублей или 100% от плановых назначений;</w:t>
                  </w:r>
                </w:p>
                <w:p w:rsidR="009F54AC" w:rsidRDefault="0059407B">
                  <w:pPr>
                    <w:ind w:firstLine="700"/>
                    <w:jc w:val="both"/>
                  </w:pPr>
                  <w:r>
                    <w:rPr>
                      <w:color w:val="000000"/>
                      <w:sz w:val="28"/>
                      <w:szCs w:val="28"/>
                    </w:rPr>
                    <w:t>б) на организацию и проведение мероприятий, направленных на профилактику правонарушений, в том числе и профилактику правонарушений несовершеннолетних израсходовано 70 900,00 рублей при плане 71 000,00 рублей;</w:t>
                  </w:r>
                </w:p>
                <w:p w:rsidR="009F54AC" w:rsidRDefault="0059407B">
                  <w:pPr>
                    <w:ind w:firstLine="700"/>
                    <w:jc w:val="both"/>
                  </w:pPr>
                  <w:r>
                    <w:rPr>
                      <w:color w:val="000000"/>
                      <w:sz w:val="28"/>
                      <w:szCs w:val="28"/>
                    </w:rPr>
                    <w:t>в) на проведение информационной антинаркотической политики, запланированы мероприятия на сумму 245 000,00 рублей, исполнение составило 244 500 рублей от плана.</w:t>
                  </w:r>
                </w:p>
                <w:p w:rsidR="009F54AC" w:rsidRDefault="0059407B">
                  <w:pPr>
                    <w:ind w:firstLine="700"/>
                    <w:jc w:val="both"/>
                  </w:pPr>
                  <w:r>
                    <w:rPr>
                      <w:color w:val="000000"/>
                      <w:sz w:val="28"/>
                      <w:szCs w:val="28"/>
                    </w:rPr>
                    <w:t xml:space="preserve">3. В рамках </w:t>
                  </w:r>
                  <w:r>
                    <w:rPr>
                      <w:b/>
                      <w:bCs/>
                      <w:color w:val="000000"/>
                      <w:sz w:val="28"/>
                      <w:szCs w:val="28"/>
                    </w:rPr>
                    <w:t>муниципальной программы «Укрепление межнационального и межконфессионального согласия, профилактика экстремизма в городе Пыть-Яхе»:</w:t>
                  </w:r>
                </w:p>
                <w:p w:rsidR="009F54AC" w:rsidRDefault="0059407B">
                  <w:pPr>
                    <w:ind w:firstLine="700"/>
                    <w:jc w:val="both"/>
                  </w:pPr>
                  <w:r>
                    <w:rPr>
                      <w:color w:val="000000"/>
                      <w:sz w:val="28"/>
                      <w:szCs w:val="28"/>
                    </w:rPr>
                    <w:t>а) в рамках комплекса процессных мероприятий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 расходы составили 10 000,00 рублей или 100% от плана, которые были направлены на приобретение наградной продукции (ручки, карандаши цветные);</w:t>
                  </w:r>
                </w:p>
                <w:p w:rsidR="009F54AC" w:rsidRDefault="0059407B">
                  <w:pPr>
                    <w:ind w:firstLine="700"/>
                    <w:jc w:val="both"/>
                  </w:pPr>
                  <w:r>
                    <w:rPr>
                      <w:color w:val="000000"/>
                      <w:sz w:val="28"/>
                      <w:szCs w:val="28"/>
                    </w:rPr>
                    <w:t>б) в рамках комплекса процессных мероприятий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расходы составили 142 250,00 рублей, или 100% от плана. Расходы также направлены на изготовление и поставку наградной продукции;</w:t>
                  </w:r>
                </w:p>
                <w:p w:rsidR="009F54AC" w:rsidRDefault="0059407B">
                  <w:pPr>
                    <w:ind w:firstLine="700"/>
                    <w:jc w:val="both"/>
                  </w:pPr>
                  <w:r>
                    <w:rPr>
                      <w:color w:val="000000"/>
                      <w:sz w:val="28"/>
                      <w:szCs w:val="28"/>
                    </w:rPr>
                    <w:t>в) по мероприятию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 расходы составили 10 000,00 рублей или 100% от плана. Была приобретена наградная продукция, а именно подарочные сертификаты в количестве 4 штук;</w:t>
                  </w:r>
                </w:p>
                <w:p w:rsidR="009F54AC" w:rsidRDefault="0059407B">
                  <w:pPr>
                    <w:ind w:firstLine="700"/>
                    <w:jc w:val="both"/>
                  </w:pPr>
                  <w:r>
                    <w:rPr>
                      <w:color w:val="000000"/>
                      <w:sz w:val="28"/>
                      <w:szCs w:val="28"/>
                    </w:rPr>
                    <w:t xml:space="preserve">г) по мероприятию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 на реализацию мероприятий в сфере укрепления межнационального и межконфессионального </w:t>
                  </w:r>
                  <w:r>
                    <w:rPr>
                      <w:color w:val="000000"/>
                      <w:sz w:val="28"/>
                      <w:szCs w:val="28"/>
                    </w:rPr>
                    <w:lastRenderedPageBreak/>
                    <w:t>согласия, обеспечения социальной и культурной адаптации мигрантов, профилактики экстремизма направлено 162 250,00 рублей или 99,9% от плана;</w:t>
                  </w:r>
                </w:p>
                <w:p w:rsidR="009F54AC" w:rsidRDefault="0059407B">
                  <w:pPr>
                    <w:ind w:firstLine="700"/>
                    <w:jc w:val="both"/>
                  </w:pPr>
                  <w:r>
                    <w:rPr>
                      <w:color w:val="000000"/>
                      <w:sz w:val="28"/>
                      <w:szCs w:val="28"/>
                    </w:rPr>
                    <w:t>д) в рамках мероприятия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244 500,00 рублей на укрепление межнационального и межконфессионального согласия, обеспечения социальной и культурной адаптации мигрантов, на профилактику экстремизма. Исполнение составило 100% от плановых назначений.</w:t>
                  </w:r>
                </w:p>
                <w:p w:rsidR="009F54AC" w:rsidRDefault="0059407B">
                  <w:pPr>
                    <w:ind w:firstLine="700"/>
                    <w:jc w:val="both"/>
                  </w:pPr>
                  <w:r>
                    <w:rPr>
                      <w:color w:val="000000"/>
                      <w:sz w:val="28"/>
                      <w:szCs w:val="28"/>
                    </w:rPr>
                    <w:t xml:space="preserve">4. В рамках муниципальной </w:t>
                  </w:r>
                  <w:r>
                    <w:rPr>
                      <w:b/>
                      <w:bCs/>
                      <w:color w:val="000000"/>
                      <w:sz w:val="28"/>
                      <w:szCs w:val="28"/>
                    </w:rPr>
                    <w:t>программы «Развитие гражданского общества в городе Пыть-Яхе»</w:t>
                  </w:r>
                  <w:r>
                    <w:rPr>
                      <w:color w:val="000000"/>
                      <w:sz w:val="28"/>
                      <w:szCs w:val="28"/>
                    </w:rPr>
                    <w:t xml:space="preserve"> расходы составили 2 847 500 рублей или 100% от предусмотренных плановых назначений.</w:t>
                  </w:r>
                </w:p>
                <w:p w:rsidR="009F54AC" w:rsidRDefault="0059407B">
                  <w:pPr>
                    <w:ind w:firstLine="700"/>
                    <w:jc w:val="both"/>
                  </w:pPr>
                  <w:r>
                    <w:rPr>
                      <w:color w:val="000000"/>
                      <w:sz w:val="28"/>
                      <w:szCs w:val="28"/>
                    </w:rPr>
                    <w:t>а) по основному мероприятию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 расходы в сумме 2 798 100,00 рублей или 100% от плана направлены на выплаты субсидий социально ориентированным некоммерческим организациям на реализацию социально значимых программ;</w:t>
                  </w:r>
                </w:p>
                <w:p w:rsidR="009F54AC" w:rsidRDefault="0059407B">
                  <w:pPr>
                    <w:ind w:firstLine="700"/>
                    <w:jc w:val="both"/>
                  </w:pPr>
                  <w:r>
                    <w:rPr>
                      <w:color w:val="000000"/>
                      <w:sz w:val="28"/>
                      <w:szCs w:val="28"/>
                    </w:rPr>
                    <w:t>б) в рамках мероприятия «Обеспечение открытости органов местного самоуправления» произведены расходы в сумме 49 400,00 рублей или 100% от плана. Расходы направлены на оплату размещения готового информационного материала в местную газету.</w:t>
                  </w:r>
                </w:p>
                <w:p w:rsidR="009F54AC" w:rsidRDefault="0059407B">
                  <w:pPr>
                    <w:ind w:firstLine="700"/>
                    <w:jc w:val="both"/>
                  </w:pPr>
                  <w:r>
                    <w:rPr>
                      <w:color w:val="000000"/>
                      <w:sz w:val="28"/>
                      <w:szCs w:val="28"/>
                    </w:rPr>
                    <w:t xml:space="preserve">5. На реализацию </w:t>
                  </w:r>
                  <w:r>
                    <w:rPr>
                      <w:b/>
                      <w:bCs/>
                      <w:color w:val="000000"/>
                      <w:sz w:val="28"/>
                      <w:szCs w:val="28"/>
                    </w:rPr>
                    <w:t>муниципальной программы «Управление муниципальным имуществом города Пыть-Яха»</w:t>
                  </w:r>
                  <w:r>
                    <w:rPr>
                      <w:color w:val="000000"/>
                      <w:sz w:val="28"/>
                      <w:szCs w:val="28"/>
                    </w:rPr>
                    <w:t xml:space="preserve"> предусмотрено 35 028 284,89 рублей, исполнение составило 33 880 004,99 рублей или 96,7% от уточнённого плана.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9F54AC" w:rsidRDefault="0059407B">
                  <w:pPr>
                    <w:ind w:firstLine="700"/>
                    <w:jc w:val="both"/>
                  </w:pPr>
                  <w:r>
                    <w:rPr>
                      <w:color w:val="000000"/>
                      <w:sz w:val="28"/>
                      <w:szCs w:val="28"/>
                    </w:rPr>
                    <w:t xml:space="preserve">6. В рамках </w:t>
                  </w:r>
                  <w:r>
                    <w:rPr>
                      <w:b/>
                      <w:bCs/>
                      <w:color w:val="000000"/>
                      <w:sz w:val="28"/>
                      <w:szCs w:val="28"/>
                    </w:rPr>
                    <w:t>муниципальной программы «Развитие муниципальной службы в городе Пыть-Яхе»</w:t>
                  </w:r>
                  <w:r>
                    <w:rPr>
                      <w:color w:val="000000"/>
                      <w:sz w:val="28"/>
                      <w:szCs w:val="28"/>
                    </w:rPr>
                    <w:t xml:space="preserve"> предусмотрено 322 119 590,84 рублей. Исполнение составило 99,4% или 320 234 644,30 рублей, в том числе:</w:t>
                  </w:r>
                </w:p>
                <w:p w:rsidR="009F54AC" w:rsidRDefault="0059407B">
                  <w:pPr>
                    <w:ind w:firstLine="560"/>
                    <w:jc w:val="both"/>
                  </w:pPr>
                  <w:r>
                    <w:rPr>
                      <w:color w:val="000000"/>
                      <w:sz w:val="28"/>
                      <w:szCs w:val="28"/>
                    </w:rPr>
                    <w:t xml:space="preserve">а) на повышение эффективности муниципального управления запланировано 541 000,00 рублей. Исполнение составило 100% или 540995,60 рублей. Расходы направлены на дополнительное профессиональное образование муниципальных служащих и лиц, замещающих муниципальные должности, по приоритетным и иным направлениям и повышение профессионального уровня муниципальных служащих, управленческих кадров и лиц, включенных в резерв управленческих </w:t>
                  </w:r>
                  <w:r>
                    <w:rPr>
                      <w:color w:val="000000"/>
                      <w:sz w:val="28"/>
                      <w:szCs w:val="28"/>
                    </w:rPr>
                    <w:lastRenderedPageBreak/>
                    <w:t>кадров.    Дополнительное профессиональное образование в 2024 году за счет средств программы получили 70 чел. (муниципальных служащих, лиц, замещающих муниципальные должности и лиц, включенных в кадровый резерв и резерв управленческих кадров ОМСУ), что составило 127,2% от текущей потребности.                                 </w:t>
                  </w:r>
                </w:p>
                <w:p w:rsidR="009F54AC" w:rsidRDefault="0059407B">
                  <w:pPr>
                    <w:ind w:firstLine="700"/>
                    <w:jc w:val="both"/>
                  </w:pPr>
                  <w:r>
                    <w:rPr>
                      <w:color w:val="000000"/>
                      <w:sz w:val="28"/>
                      <w:szCs w:val="28"/>
                    </w:rPr>
                    <w:t>б) на обеспечение условий для осуществления деятельности органов местного самоуправления города Пыть-Яха и муниципальных учреждений города:</w:t>
                  </w:r>
                </w:p>
                <w:p w:rsidR="009F54AC" w:rsidRDefault="0059407B">
                  <w:pPr>
                    <w:ind w:firstLine="700"/>
                    <w:jc w:val="both"/>
                  </w:pPr>
                  <w:r>
                    <w:rPr>
                      <w:color w:val="000000"/>
                      <w:sz w:val="28"/>
                      <w:szCs w:val="28"/>
                    </w:rPr>
                    <w:t>•    содержание управления по внутренней политике, управления делами администрации города предусмотрено 41 505 157,84 рублей. Исполнение составило 99,6% или 41 360 262,16 рублей. Расходы направлены на оплату труда, взносы во внебюджетные фонды, оплату командировочных расходов, оплату компенсации расходов на проезд и провоз багажа к месту использования отпуска и обратно;</w:t>
                  </w:r>
                </w:p>
                <w:p w:rsidR="009F54AC" w:rsidRDefault="0059407B">
                  <w:pPr>
                    <w:ind w:firstLine="700"/>
                    <w:jc w:val="both"/>
                  </w:pPr>
                  <w:r>
                    <w:rPr>
                      <w:color w:val="000000"/>
                      <w:sz w:val="28"/>
                      <w:szCs w:val="28"/>
                    </w:rPr>
                    <w:t>• содержание МКУ «Управление материально-технического обеспечения органов местного самоуправления города Пыть-Яха» предусмотрено на 127 786 073,61 рубля, исполнено 126 581 045,26 рублей или 99,06% плановых назначений;</w:t>
                  </w:r>
                </w:p>
                <w:p w:rsidR="009F54AC" w:rsidRDefault="0059407B">
                  <w:pPr>
                    <w:ind w:firstLine="700"/>
                    <w:jc w:val="both"/>
                  </w:pPr>
                  <w:r>
                    <w:rPr>
                      <w:color w:val="000000"/>
                      <w:sz w:val="28"/>
                      <w:szCs w:val="28"/>
                    </w:rPr>
                    <w:t>• на содержание МКУ «Центр бухгалтерского и комплексного обслуживания муниципальных учреждений города Пыть-Яха» плановые назначения утверждены в сумме 149 346 959,39 рублей, исполнение составило 149 308 476,60 рубля или 99,97% плановых назначений;</w:t>
                  </w:r>
                </w:p>
                <w:p w:rsidR="009F54AC" w:rsidRDefault="0059407B">
                  <w:pPr>
                    <w:ind w:firstLine="700"/>
                    <w:jc w:val="both"/>
                  </w:pPr>
                  <w:r>
                    <w:rPr>
                      <w:color w:val="000000"/>
                      <w:sz w:val="28"/>
                      <w:szCs w:val="28"/>
                    </w:rPr>
                    <w:t>• на реализацию прочих мероприятий органов местного самоуправления направлены расходы в сумме 292 600,00 рублей, исполнены на 100% от плановых назначений (членские взносы в Ассоциацию «Совет муниципальных образований Ханты- Мансийского автономного округа – Югры» за 2024 год);</w:t>
                  </w:r>
                </w:p>
                <w:p w:rsidR="009F54AC" w:rsidRDefault="0059407B">
                  <w:pPr>
                    <w:ind w:firstLine="700"/>
                    <w:jc w:val="both"/>
                  </w:pPr>
                  <w:r>
                    <w:rPr>
                      <w:color w:val="000000"/>
                      <w:sz w:val="28"/>
                      <w:szCs w:val="28"/>
                    </w:rPr>
                    <w:t>• расходы на представление к наградам и присвоение почётных званий муниципального образования составили 768 590,00 рублей или 76,7% от плана в сумме 1 001 800,00 рублей;</w:t>
                  </w:r>
                </w:p>
                <w:p w:rsidR="009F54AC" w:rsidRDefault="0059407B">
                  <w:pPr>
                    <w:jc w:val="both"/>
                  </w:pPr>
                  <w:r>
                    <w:rPr>
                      <w:color w:val="000000"/>
                      <w:sz w:val="28"/>
                      <w:szCs w:val="28"/>
                    </w:rPr>
                    <w:t>            • 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 составили 1 646 000,00 рублей или 100% от плановых назначений. Данные расходы направлены на поощрение муниципальных управленческих команд за 2024 год.</w:t>
                  </w:r>
                </w:p>
                <w:p w:rsidR="009F54AC" w:rsidRDefault="0059407B">
                  <w:pPr>
                    <w:ind w:firstLine="700"/>
                    <w:jc w:val="both"/>
                  </w:pPr>
                  <w:r>
                    <w:rPr>
                      <w:color w:val="000000"/>
                      <w:sz w:val="28"/>
                      <w:szCs w:val="28"/>
                    </w:rPr>
                    <w:t xml:space="preserve">В рамках </w:t>
                  </w:r>
                  <w:r>
                    <w:rPr>
                      <w:b/>
                      <w:bCs/>
                      <w:color w:val="000000"/>
                      <w:sz w:val="28"/>
                      <w:szCs w:val="28"/>
                    </w:rPr>
                    <w:t>непрограммных расходов</w:t>
                  </w:r>
                  <w:r>
                    <w:rPr>
                      <w:color w:val="000000"/>
                      <w:sz w:val="28"/>
                      <w:szCs w:val="28"/>
                    </w:rPr>
                    <w:t xml:space="preserve"> исполнено 743 800,00 рублей или 86,1%. Расходы направлены на выполнение полномочий Думы города Пыть-Ях в сфере наград и почетных званий, оплачен членский взнос в Союз муниципальных контрольно-счетных органов.</w:t>
                  </w:r>
                </w:p>
                <w:p w:rsidR="009F54AC" w:rsidRDefault="0059407B">
                  <w:pPr>
                    <w:ind w:firstLine="700"/>
                    <w:jc w:val="both"/>
                  </w:pPr>
                  <w:r>
                    <w:rPr>
                      <w:b/>
                      <w:bCs/>
                      <w:color w:val="000000"/>
                      <w:sz w:val="28"/>
                      <w:szCs w:val="28"/>
                    </w:rPr>
                    <w:t>Раздел 02 00 «Национальная оборона»</w:t>
                  </w:r>
                </w:p>
                <w:p w:rsidR="009F54AC" w:rsidRDefault="0059407B">
                  <w:pPr>
                    <w:ind w:firstLine="700"/>
                    <w:jc w:val="both"/>
                  </w:pPr>
                  <w:r>
                    <w:rPr>
                      <w:color w:val="000000"/>
                      <w:sz w:val="28"/>
                      <w:szCs w:val="28"/>
                    </w:rPr>
                    <w:t xml:space="preserve">Расходные обязательства муниципального образования городской округ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N 53-ФЗ «О воинской обязанности и военной службе», Законом Ханты-Мансийского автономного </w:t>
                  </w:r>
                  <w:r>
                    <w:rPr>
                      <w:color w:val="000000"/>
                      <w:sz w:val="28"/>
                      <w:szCs w:val="28"/>
                    </w:rPr>
                    <w:lastRenderedPageBreak/>
                    <w:t>округа - Югры от 20 декабря 2007 года N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9F54AC" w:rsidRDefault="0059407B">
                  <w:pPr>
                    <w:ind w:firstLine="700"/>
                    <w:jc w:val="both"/>
                  </w:pPr>
                  <w:r>
                    <w:rPr>
                      <w:color w:val="000000"/>
                      <w:sz w:val="28"/>
                      <w:szCs w:val="28"/>
                    </w:rPr>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9F54AC" w:rsidRDefault="0059407B">
                  <w:pPr>
                    <w:ind w:firstLine="700"/>
                    <w:jc w:val="both"/>
                  </w:pPr>
                  <w:r>
                    <w:rPr>
                      <w:b/>
                      <w:bCs/>
                      <w:color w:val="000000"/>
                      <w:sz w:val="28"/>
                      <w:szCs w:val="28"/>
                    </w:rPr>
                    <w:t>Сети, штаты, контингенты.</w:t>
                  </w:r>
                </w:p>
                <w:p w:rsidR="009F54AC" w:rsidRDefault="0059407B">
                  <w:pPr>
                    <w:ind w:firstLine="700"/>
                    <w:jc w:val="both"/>
                  </w:pPr>
                  <w:r>
                    <w:rPr>
                      <w:color w:val="000000"/>
                      <w:sz w:val="28"/>
                      <w:szCs w:val="28"/>
                    </w:rPr>
                    <w:t>На конец отчетного периода количество занятых штатных единиц составило 7 при плане 8 штатных единиц, среднегодовая штатная численность составила 7 единиц. </w:t>
                  </w:r>
                </w:p>
                <w:p w:rsidR="009F54AC" w:rsidRDefault="0059407B">
                  <w:pPr>
                    <w:ind w:firstLine="700"/>
                    <w:jc w:val="both"/>
                  </w:pPr>
                  <w:r>
                    <w:rPr>
                      <w:b/>
                      <w:bCs/>
                      <w:color w:val="000000"/>
                      <w:sz w:val="28"/>
                      <w:szCs w:val="28"/>
                    </w:rPr>
                    <w:t>Расходы.</w:t>
                  </w:r>
                </w:p>
                <w:p w:rsidR="009F54AC" w:rsidRDefault="0059407B">
                  <w:pPr>
                    <w:ind w:firstLine="700"/>
                    <w:jc w:val="both"/>
                  </w:pPr>
                  <w:r>
                    <w:rPr>
                      <w:color w:val="000000"/>
                      <w:sz w:val="28"/>
                      <w:szCs w:val="28"/>
                    </w:rPr>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9F54AC" w:rsidRDefault="0059407B">
                  <w:pPr>
                    <w:spacing w:after="60"/>
                    <w:ind w:firstLine="700"/>
                    <w:jc w:val="both"/>
                  </w:pPr>
                  <w:r>
                    <w:rPr>
                      <w:color w:val="000000"/>
                      <w:sz w:val="28"/>
                      <w:szCs w:val="28"/>
                    </w:rPr>
                    <w:t>По состоянию на 31.12.2024 расходы составили 9 436 537,62 рублей или 100% от плановых назначений – 9 436 596,59 рублей, из них за счет средств субвенции на осуществление первичного воинского учета на территориях, где отсутствуют военные комиссариаты в сумме 7 011 600,00 рублей или 100% от поступивших средств. Расходы направлены на оплату труда, социальные пособия и начисления на выплаты по оплате труда работников военно-учетного отдела.</w:t>
                  </w:r>
                </w:p>
                <w:p w:rsidR="009F54AC" w:rsidRDefault="0059407B">
                  <w:pPr>
                    <w:ind w:firstLine="700"/>
                    <w:jc w:val="both"/>
                  </w:pPr>
                  <w:r>
                    <w:rPr>
                      <w:color w:val="000000"/>
                      <w:sz w:val="28"/>
                      <w:szCs w:val="28"/>
                    </w:rPr>
                    <w:t>В рамках реализации полномочии по осуществлению первичного воинского учета граждан, проживающих или пребывающих на территории города Пыть-Яха по состоянию на 31.12.2024 зарегистрировано 9 936 человек состоящих на учете, в том числе граждан пребывающих в запасе в количестве 9 172 человек, и граждан, подлежащих призыву на военную службу, не пребывающих в запасе, в количестве 764 человека.</w:t>
                  </w:r>
                </w:p>
                <w:p w:rsidR="009F54AC" w:rsidRDefault="0059407B">
                  <w:pPr>
                    <w:ind w:firstLine="700"/>
                    <w:jc w:val="both"/>
                  </w:pPr>
                  <w:r>
                    <w:rPr>
                      <w:b/>
                      <w:bCs/>
                      <w:color w:val="000000"/>
                      <w:sz w:val="28"/>
                      <w:szCs w:val="28"/>
                    </w:rPr>
                    <w:t>Раздел 0300 «Национальная безопасность и правоохранительная деятельность»</w:t>
                  </w:r>
                </w:p>
                <w:p w:rsidR="009F54AC" w:rsidRDefault="0059407B">
                  <w:pPr>
                    <w:ind w:firstLine="700"/>
                    <w:jc w:val="both"/>
                  </w:pPr>
                  <w:r>
                    <w:rPr>
                      <w:b/>
                      <w:bCs/>
                      <w:color w:val="000000"/>
                      <w:sz w:val="28"/>
                      <w:szCs w:val="28"/>
                    </w:rPr>
                    <w:t>Сети, штаты, контингенты.</w:t>
                  </w:r>
                </w:p>
                <w:p w:rsidR="009F54AC" w:rsidRDefault="0059407B">
                  <w:pPr>
                    <w:ind w:firstLine="700"/>
                    <w:jc w:val="both"/>
                  </w:pPr>
                  <w:r>
                    <w:rPr>
                      <w:color w:val="000000"/>
                      <w:sz w:val="28"/>
                      <w:szCs w:val="28"/>
                    </w:rPr>
                    <w:t>По данному разделу содержатся следующие структурные подразделения администрации города и одно муниципальное казенное учреждение:</w:t>
                  </w:r>
                </w:p>
                <w:p w:rsidR="009F54AC" w:rsidRDefault="0059407B">
                  <w:pPr>
                    <w:ind w:firstLine="700"/>
                    <w:jc w:val="both"/>
                  </w:pPr>
                  <w:r>
                    <w:rPr>
                      <w:color w:val="000000"/>
                      <w:sz w:val="28"/>
                      <w:szCs w:val="28"/>
                    </w:rPr>
                    <w:t>- отдел государственной регистрации актов гражданского состояния на конец отчетного периода количество занятых штатных единиц составило 2 человека или 66,7 % при плане 3 штатных единицы. Вакантна должность начальника отдела;</w:t>
                  </w:r>
                </w:p>
                <w:p w:rsidR="009F54AC" w:rsidRDefault="0059407B">
                  <w:pPr>
                    <w:ind w:firstLine="540"/>
                    <w:jc w:val="both"/>
                  </w:pPr>
                  <w:r>
                    <w:rPr>
                      <w:color w:val="000000"/>
                      <w:sz w:val="28"/>
                      <w:szCs w:val="28"/>
                    </w:rPr>
                    <w:t>- отдел по делам гражданской обороны, чрезвычайным ситуациям и территориальной обороне количество штатных единиц составляет 3 шт.ед., фактически все штатные единицы заняты;</w:t>
                  </w:r>
                </w:p>
                <w:p w:rsidR="009F54AC" w:rsidRDefault="0059407B">
                  <w:pPr>
                    <w:ind w:firstLine="700"/>
                    <w:jc w:val="both"/>
                  </w:pPr>
                  <w:r>
                    <w:rPr>
                      <w:color w:val="000000"/>
                      <w:sz w:val="28"/>
                      <w:szCs w:val="28"/>
                    </w:rPr>
                    <w:t>- по МКУ «Единая дежурно - диспетчерская служба города Пыть-Яха» на конец отчетного периода количество занятых штатных единиц составило 14 человек или 77,8 % при плане 18 штатных единиц. </w:t>
                  </w:r>
                </w:p>
                <w:p w:rsidR="009F54AC" w:rsidRDefault="0059407B">
                  <w:pPr>
                    <w:ind w:firstLine="700"/>
                    <w:jc w:val="both"/>
                  </w:pPr>
                  <w:r>
                    <w:rPr>
                      <w:b/>
                      <w:bCs/>
                      <w:color w:val="000000"/>
                      <w:sz w:val="28"/>
                      <w:szCs w:val="28"/>
                    </w:rPr>
                    <w:lastRenderedPageBreak/>
                    <w:t>Расходы.</w:t>
                  </w:r>
                </w:p>
                <w:p w:rsidR="009F54AC" w:rsidRDefault="0059407B">
                  <w:pPr>
                    <w:ind w:firstLine="700"/>
                    <w:jc w:val="both"/>
                  </w:pPr>
                  <w:r>
                    <w:rPr>
                      <w:color w:val="000000"/>
                      <w:sz w:val="28"/>
                      <w:szCs w:val="28"/>
                    </w:rPr>
                    <w:t>По разделу 03 00 «Национальная безопасность и правоохранительная деятельность» бюджетные ассигнования на текущий финансовый год составили 43 331 790,27 рублей, исполнение в сумме 42 553 694,10 рубля составило 98,2% от плановых назначений. </w:t>
                  </w:r>
                </w:p>
                <w:p w:rsidR="009F54AC" w:rsidRDefault="0059407B">
                  <w:pPr>
                    <w:ind w:firstLine="700"/>
                    <w:jc w:val="both"/>
                  </w:pPr>
                  <w:r>
                    <w:rPr>
                      <w:color w:val="000000"/>
                      <w:sz w:val="28"/>
                      <w:szCs w:val="28"/>
                    </w:rPr>
                    <w:t>Расходы направлены на реализацию четырех муниципальных программ:</w:t>
                  </w:r>
                </w:p>
                <w:p w:rsidR="009F54AC" w:rsidRDefault="0059407B">
                  <w:pPr>
                    <w:ind w:firstLine="700"/>
                    <w:jc w:val="both"/>
                  </w:pPr>
                  <w:r>
                    <w:rPr>
                      <w:b/>
                      <w:bCs/>
                      <w:color w:val="000000"/>
                      <w:sz w:val="28"/>
                      <w:szCs w:val="28"/>
                    </w:rPr>
                    <w:t>1. Муниципальная программа «Профилактика правонарушений в городе Пыть-Яхе». </w:t>
                  </w:r>
                  <w:r>
                    <w:rPr>
                      <w:color w:val="000000"/>
                      <w:sz w:val="28"/>
                      <w:szCs w:val="28"/>
                    </w:rPr>
                    <w:t>Расходы по муниципальной программе по разделу 03 00 за отчетный год составили 1 487 934,41 рублей, что составляет 94,7% к уточненному плану на год.</w:t>
                  </w:r>
                </w:p>
                <w:p w:rsidR="009F54AC" w:rsidRDefault="0059407B">
                  <w:pPr>
                    <w:ind w:firstLine="700"/>
                    <w:jc w:val="both"/>
                  </w:pPr>
                  <w:r>
                    <w:rPr>
                      <w:color w:val="000000"/>
                      <w:sz w:val="28"/>
                      <w:szCs w:val="28"/>
                    </w:rPr>
                    <w:t> Средства направлены:</w:t>
                  </w:r>
                </w:p>
                <w:p w:rsidR="009F54AC" w:rsidRDefault="0059407B">
                  <w:pPr>
                    <w:ind w:firstLine="700"/>
                    <w:jc w:val="both"/>
                  </w:pPr>
                  <w:r>
                    <w:rPr>
                      <w:color w:val="000000"/>
                      <w:sz w:val="28"/>
                      <w:szCs w:val="28"/>
                    </w:rPr>
                    <w:t>- на реализацию комплекса процессных мероприятий «Обеспечение функционирования и развития систем видеонаблюдения в наиболее криминогенных общественных местах и на улицах города Пыть-Яха» в сумме 1 353 134,41 рублей, что составляет 94,2% к уточненному плану на год. Оплата произведена по факту выполненных работ;</w:t>
                  </w:r>
                </w:p>
                <w:p w:rsidR="009F54AC" w:rsidRDefault="0059407B">
                  <w:pPr>
                    <w:ind w:firstLine="700"/>
                    <w:jc w:val="both"/>
                  </w:pPr>
                  <w:r>
                    <w:rPr>
                      <w:color w:val="000000"/>
                      <w:sz w:val="28"/>
                      <w:szCs w:val="28"/>
                    </w:rPr>
                    <w:t>-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134 800,00 рублей, что составляет 100% к уточненному плану на год.</w:t>
                  </w:r>
                </w:p>
                <w:p w:rsidR="009F54AC" w:rsidRDefault="0059407B">
                  <w:pPr>
                    <w:ind w:firstLine="700"/>
                    <w:jc w:val="both"/>
                  </w:pPr>
                  <w:r>
                    <w:rPr>
                      <w:color w:val="000000"/>
                      <w:sz w:val="28"/>
                      <w:szCs w:val="28"/>
                    </w:rPr>
                    <w:t>При реализации муниципальной программы достигнуты следующие результаты:</w:t>
                  </w:r>
                </w:p>
                <w:p w:rsidR="009F54AC" w:rsidRDefault="0059407B">
                  <w:pPr>
                    <w:ind w:firstLine="700"/>
                    <w:jc w:val="both"/>
                  </w:pPr>
                  <w:r>
                    <w:rPr>
                      <w:color w:val="000000"/>
                      <w:sz w:val="28"/>
                      <w:szCs w:val="28"/>
                    </w:rPr>
                    <w:t>- уменьшение общей распространенности наркомании (на 100 тыс. населения) – 139,4 ед. или 100% к плану 166,4 ед. В сравнении с 2023 годом показатель уменьшился на 9,7% или на 14,9 ед.;</w:t>
                  </w:r>
                </w:p>
                <w:p w:rsidR="009F54AC" w:rsidRDefault="0059407B">
                  <w:pPr>
                    <w:ind w:firstLine="700"/>
                    <w:jc w:val="both"/>
                  </w:pPr>
                  <w:r>
                    <w:rPr>
                      <w:color w:val="000000"/>
                      <w:sz w:val="28"/>
                      <w:szCs w:val="28"/>
                    </w:rPr>
                    <w:t>- сокращения уровня преступности (число зарегистрированных преступлений на 100 тыс. человек населения) – 221,5 ед. или 100% к плану 302,5 ед.</w:t>
                  </w:r>
                </w:p>
                <w:p w:rsidR="009F54AC" w:rsidRDefault="0059407B">
                  <w:pPr>
                    <w:ind w:firstLine="700"/>
                    <w:jc w:val="both"/>
                  </w:pPr>
                  <w:r>
                    <w:rPr>
                      <w:b/>
                      <w:bCs/>
                      <w:color w:val="000000"/>
                      <w:sz w:val="28"/>
                      <w:szCs w:val="28"/>
                    </w:rPr>
                    <w:t>2. Муниципальная программа «Безопасность жизнедеятельности в городе Пыть-Яхе» </w:t>
                  </w:r>
                  <w:r>
                    <w:rPr>
                      <w:color w:val="000000"/>
                      <w:sz w:val="28"/>
                      <w:szCs w:val="28"/>
                    </w:rPr>
                    <w:t>по разделу 03 00</w:t>
                  </w:r>
                  <w:r>
                    <w:rPr>
                      <w:b/>
                      <w:bCs/>
                      <w:color w:val="000000"/>
                      <w:sz w:val="28"/>
                      <w:szCs w:val="28"/>
                    </w:rPr>
                    <w:t> </w:t>
                  </w:r>
                  <w:r>
                    <w:rPr>
                      <w:color w:val="000000"/>
                      <w:sz w:val="28"/>
                      <w:szCs w:val="28"/>
                    </w:rPr>
                    <w:t>исполнена в сумме 27 374 740,97 рублей, что составляет 97,6% к уточненному плану на год – 28 063 400,00 рублей. За отчетный год профинансированы следующие мероприятия:</w:t>
                  </w:r>
                </w:p>
                <w:p w:rsidR="009F54AC" w:rsidRDefault="0059407B">
                  <w:pPr>
                    <w:ind w:firstLine="700"/>
                    <w:jc w:val="both"/>
                  </w:pPr>
                  <w:r>
                    <w:rPr>
                      <w:color w:val="000000"/>
                      <w:sz w:val="28"/>
                      <w:szCs w:val="28"/>
                    </w:rPr>
                    <w:t>- обеспечение деятельности МКУ «Единая дежурно - диспетчерская служба города Пыть-Яха» в сумме 23 027 040,97 рублей или 97,2% от плана 23 699 200,00 рублей;</w:t>
                  </w:r>
                </w:p>
                <w:p w:rsidR="009F54AC" w:rsidRDefault="0059407B">
                  <w:pPr>
                    <w:ind w:firstLine="700"/>
                    <w:jc w:val="both"/>
                  </w:pPr>
                  <w:r>
                    <w:rPr>
                      <w:color w:val="000000"/>
                      <w:sz w:val="28"/>
                      <w:szCs w:val="28"/>
                    </w:rPr>
                    <w:t>- переподготовка и повышение квалификации работников – финансирование в размере 15 000,00 рублей исполнено в полном объеме;</w:t>
                  </w:r>
                </w:p>
                <w:p w:rsidR="009F54AC" w:rsidRDefault="0059407B">
                  <w:pPr>
                    <w:ind w:firstLine="700"/>
                    <w:jc w:val="both"/>
                  </w:pPr>
                  <w:r>
                    <w:rPr>
                      <w:color w:val="000000"/>
                      <w:sz w:val="28"/>
                      <w:szCs w:val="28"/>
                    </w:rPr>
                    <w:t>- проведение пропаганды и обучение населения способам защиты и действиям в чрезвычайных ситуациях – расходы по мероприятию составили 114 000,00 рублей или 100% от плана. В рамках реализации мероприятия изготовлены памятки по противопожарной безопасности, а также изготовлены и размещены ТВ-ролики по обучению населения в сфере защиты населения и территорий от угроз природного и техногенного характера («Безопасность на водных объектах», «Пожарная безопасность»); </w:t>
                  </w:r>
                </w:p>
                <w:p w:rsidR="009F54AC" w:rsidRDefault="0059407B">
                  <w:pPr>
                    <w:ind w:firstLine="700"/>
                    <w:jc w:val="both"/>
                  </w:pPr>
                  <w:r>
                    <w:rPr>
                      <w:color w:val="000000"/>
                      <w:sz w:val="28"/>
                      <w:szCs w:val="28"/>
                    </w:rPr>
                    <w:t>- обеспечение безопасности граждан на водных объектах - расходы составили 13 000,00 рублей или 100% от плановых назначений;</w:t>
                  </w:r>
                </w:p>
                <w:p w:rsidR="009F54AC" w:rsidRDefault="0059407B">
                  <w:pPr>
                    <w:ind w:firstLine="700"/>
                    <w:jc w:val="both"/>
                  </w:pPr>
                  <w:r>
                    <w:rPr>
                      <w:color w:val="000000"/>
                      <w:sz w:val="28"/>
                      <w:szCs w:val="28"/>
                    </w:rPr>
                    <w:lastRenderedPageBreak/>
                    <w:t>- повышение защиты населения и территории от угроз природного и техногенного характера в сумме 2 006 700,00 рублей или 99,2% от плана; </w:t>
                  </w:r>
                </w:p>
                <w:p w:rsidR="009F54AC" w:rsidRDefault="0059407B">
                  <w:pPr>
                    <w:ind w:firstLine="700"/>
                    <w:jc w:val="both"/>
                  </w:pPr>
                  <w:r>
                    <w:rPr>
                      <w:color w:val="000000"/>
                      <w:sz w:val="28"/>
                      <w:szCs w:val="28"/>
                    </w:rPr>
                    <w:t>-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водоснабжения, являющихся муниципальной собственностью – расходы составили 1 243 700,00 рублей или 100% от плана;</w:t>
                  </w:r>
                </w:p>
                <w:p w:rsidR="009F54AC" w:rsidRDefault="0059407B">
                  <w:pPr>
                    <w:ind w:firstLine="700"/>
                    <w:jc w:val="both"/>
                  </w:pPr>
                  <w:r>
                    <w:rPr>
                      <w:color w:val="000000"/>
                      <w:sz w:val="28"/>
                      <w:szCs w:val="28"/>
                    </w:rPr>
                    <w:t>- обустройство и содержание минерализованных полос и противопожарных разрывов – за отчетный период расходы составили 955 300,00 рублей или 100% от плана. </w:t>
                  </w:r>
                </w:p>
                <w:p w:rsidR="009F54AC" w:rsidRDefault="0059407B">
                  <w:pPr>
                    <w:ind w:firstLine="700"/>
                    <w:jc w:val="both"/>
                  </w:pPr>
                  <w:r>
                    <w:rPr>
                      <w:color w:val="000000"/>
                      <w:sz w:val="28"/>
                      <w:szCs w:val="28"/>
                    </w:rPr>
                    <w:t>При реализации муниципальной программы достигнуты следующие результаты:</w:t>
                  </w:r>
                </w:p>
                <w:p w:rsidR="009F54AC" w:rsidRDefault="0059407B">
                  <w:pPr>
                    <w:ind w:firstLine="700"/>
                    <w:jc w:val="both"/>
                  </w:pPr>
                  <w:r>
                    <w:rPr>
                      <w:color w:val="000000"/>
                      <w:sz w:val="28"/>
                      <w:szCs w:val="28"/>
                    </w:rPr>
                    <w:t>- количество обученных специалистов, уполномоченных решать задачи в сфере ГО и ЧС (ед.) - 3 или 100 % к плану (план - 3);</w:t>
                  </w:r>
                </w:p>
                <w:p w:rsidR="009F54AC" w:rsidRDefault="0059407B">
                  <w:pPr>
                    <w:ind w:firstLine="700"/>
                    <w:jc w:val="both"/>
                  </w:pPr>
                  <w:r>
                    <w:rPr>
                      <w:color w:val="000000"/>
                      <w:sz w:val="28"/>
                      <w:szCs w:val="28"/>
                    </w:rPr>
                    <w:t>- количество изготовленных, приобретенных и распространенных памяток, брошюр, плакатов и т.п. (шт.) - 3 500 или 100 % от плана (план - 3 500);</w:t>
                  </w:r>
                </w:p>
                <w:p w:rsidR="009F54AC" w:rsidRDefault="0059407B">
                  <w:pPr>
                    <w:ind w:firstLine="700"/>
                    <w:jc w:val="both"/>
                  </w:pPr>
                  <w:r>
                    <w:rPr>
                      <w:color w:val="000000"/>
                      <w:sz w:val="28"/>
                      <w:szCs w:val="28"/>
                    </w:rPr>
                    <w:t>- количество размещенной в СМИ аудио, видео и печатной информации по обучению населения в сфере защиты населения и территории от угрозы природного и техногенного характера (ед.) -2 или 100 % к плану (план 2). Общий объем проката видеороликов - 3170 сек.;</w:t>
                  </w:r>
                </w:p>
                <w:p w:rsidR="009F54AC" w:rsidRDefault="0059407B">
                  <w:pPr>
                    <w:ind w:firstLine="700"/>
                    <w:jc w:val="both"/>
                  </w:pPr>
                  <w:r>
                    <w:rPr>
                      <w:color w:val="000000"/>
                      <w:sz w:val="28"/>
                      <w:szCs w:val="28"/>
                    </w:rPr>
                    <w:t>- доля наружных источников противопожарного водоснабжения находящихся в исправном состоянии выполнен на 100 % к плану (план 100 %);</w:t>
                  </w:r>
                </w:p>
                <w:p w:rsidR="009F54AC" w:rsidRDefault="0059407B">
                  <w:pPr>
                    <w:ind w:firstLine="700"/>
                    <w:jc w:val="both"/>
                  </w:pPr>
                  <w:r>
                    <w:rPr>
                      <w:color w:val="000000"/>
                      <w:sz w:val="28"/>
                      <w:szCs w:val="28"/>
                    </w:rPr>
                    <w:t>- доля прочищенных и обновленных минерализованных полос, и противопожарных разрывов на 100 %; </w:t>
                  </w:r>
                </w:p>
                <w:p w:rsidR="009F54AC" w:rsidRDefault="0059407B">
                  <w:pPr>
                    <w:ind w:firstLine="700"/>
                    <w:jc w:val="both"/>
                  </w:pPr>
                  <w:r>
                    <w:rPr>
                      <w:color w:val="000000"/>
                      <w:sz w:val="28"/>
                      <w:szCs w:val="28"/>
                    </w:rPr>
                    <w:t>- установка информационных знаков по безопасности на водных объектах (ед.) - 5 или 100 % к плану (план 5);</w:t>
                  </w:r>
                </w:p>
                <w:p w:rsidR="009F54AC" w:rsidRDefault="0059407B">
                  <w:pPr>
                    <w:ind w:firstLine="700"/>
                    <w:jc w:val="both"/>
                  </w:pPr>
                  <w:r>
                    <w:rPr>
                      <w:color w:val="000000"/>
                      <w:sz w:val="28"/>
                      <w:szCs w:val="28"/>
                    </w:rPr>
                    <w:t>- 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97,2% (план 100 %).</w:t>
                  </w:r>
                </w:p>
                <w:p w:rsidR="009F54AC" w:rsidRDefault="0059407B">
                  <w:pPr>
                    <w:ind w:firstLine="700"/>
                    <w:jc w:val="both"/>
                  </w:pPr>
                  <w:r>
                    <w:rPr>
                      <w:b/>
                      <w:bCs/>
                      <w:color w:val="000000"/>
                      <w:sz w:val="28"/>
                      <w:szCs w:val="28"/>
                    </w:rPr>
                    <w:t>3. Муниципальная программа «Управление муниципальным имуществом города Пыть-Яха» </w:t>
                  </w:r>
                  <w:r>
                    <w:rPr>
                      <w:color w:val="000000"/>
                      <w:sz w:val="28"/>
                      <w:szCs w:val="28"/>
                    </w:rPr>
                    <w:t>по разделу 03 00 исполнена в сумме 235 888,87 рублей, что составляет 100% к уточненному плану. Средства направлены на страхование муниципального имущества в целях смягчения последствий чрезвычайных ситуаций природного и техногенного характера.</w:t>
                  </w:r>
                </w:p>
                <w:p w:rsidR="009F54AC" w:rsidRDefault="0059407B">
                  <w:pPr>
                    <w:ind w:firstLine="700"/>
                    <w:jc w:val="both"/>
                  </w:pPr>
                  <w:r>
                    <w:rPr>
                      <w:b/>
                      <w:bCs/>
                      <w:color w:val="000000"/>
                      <w:sz w:val="28"/>
                      <w:szCs w:val="28"/>
                    </w:rPr>
                    <w:t>4. Муниципальная программа «Развитие муниципальной службы в городе Пыть-Яхе» </w:t>
                  </w:r>
                  <w:r>
                    <w:rPr>
                      <w:color w:val="000000"/>
                      <w:sz w:val="28"/>
                      <w:szCs w:val="28"/>
                    </w:rPr>
                    <w:t xml:space="preserve">по разделу 03 00 исполнена в сумме 13 455 129,85 рублей или 99,96% от плана, в том числе за счет средств федерального бюджета в сумме 4 703 300,00 рублей, за счет средств окружного бюджета в сумме 2 152 300,00 рублей. Средства направлены на реализацию переданных государственных полномочий по государственной регистрации актов гражданского состояния в сумме 6 909 099,00 рублей, исполнение составило 100% от плана. Также на содержание структурного подразделения администрации города - отдела по делам гражданской обороны, чрезвычайным </w:t>
                  </w:r>
                  <w:r>
                    <w:rPr>
                      <w:color w:val="000000"/>
                      <w:sz w:val="28"/>
                      <w:szCs w:val="28"/>
                    </w:rPr>
                    <w:lastRenderedPageBreak/>
                    <w:t>ситуациям и территориальной обороне направлено 6 546 030,85 рублей или 99,9% от плановых значений. </w:t>
                  </w:r>
                </w:p>
                <w:p w:rsidR="009F54AC" w:rsidRDefault="0059407B">
                  <w:pPr>
                    <w:ind w:firstLine="700"/>
                    <w:jc w:val="both"/>
                  </w:pPr>
                  <w:r>
                    <w:rPr>
                      <w:b/>
                      <w:bCs/>
                      <w:color w:val="000000"/>
                      <w:sz w:val="28"/>
                      <w:szCs w:val="28"/>
                    </w:rPr>
                    <w:t>Раздел 0400 «Национальная экономика»</w:t>
                  </w:r>
                </w:p>
                <w:p w:rsidR="009F54AC" w:rsidRDefault="0059407B">
                  <w:pPr>
                    <w:ind w:firstLine="700"/>
                    <w:jc w:val="both"/>
                  </w:pPr>
                  <w:r>
                    <w:rPr>
                      <w:b/>
                      <w:bCs/>
                      <w:color w:val="000000"/>
                      <w:sz w:val="28"/>
                      <w:szCs w:val="28"/>
                    </w:rPr>
                    <w:t>Сети, штаты, контингент.</w:t>
                  </w:r>
                </w:p>
                <w:p w:rsidR="009F54AC" w:rsidRDefault="0059407B">
                  <w:pPr>
                    <w:ind w:firstLine="700"/>
                    <w:jc w:val="both"/>
                  </w:pPr>
                  <w:r>
                    <w:rPr>
                      <w:color w:val="000000"/>
                      <w:sz w:val="28"/>
                      <w:szCs w:val="28"/>
                    </w:rPr>
                    <w:t>На конец 2024 года по данному разделу содержится 1 муниципальное учреждение – МКУ «Управление капитального строительства города Пыть-Ях», а также структурные подразделения МКУ «Администрация города Пыть-Ях»: управление по экономике, отдел по труду и социальным вопросам, управление архитектуры и градостроительства.</w:t>
                  </w:r>
                </w:p>
                <w:p w:rsidR="009F54AC" w:rsidRDefault="0059407B">
                  <w:pPr>
                    <w:ind w:firstLine="700"/>
                    <w:jc w:val="both"/>
                  </w:pPr>
                  <w:r>
                    <w:rPr>
                      <w:color w:val="000000"/>
                      <w:sz w:val="28"/>
                      <w:szCs w:val="28"/>
                    </w:rPr>
                    <w:t>Всего штатная численность по разделу 04 00 «Национальная экономика» на конец отчётного периода составила 50 штатных единиц, фактически занято – 41 единиц, среднесписочная численность составила 42 единицы, в том числе:</w:t>
                  </w:r>
                </w:p>
                <w:p w:rsidR="009F54AC" w:rsidRDefault="0059407B">
                  <w:pPr>
                    <w:ind w:firstLine="700"/>
                    <w:jc w:val="both"/>
                  </w:pPr>
                  <w:r>
                    <w:rPr>
                      <w:color w:val="000000"/>
                      <w:sz w:val="28"/>
                      <w:szCs w:val="28"/>
                    </w:rPr>
                    <w:t>- по МКУ «Управление капитального строительства города Пыть-Ях» штатное расписание на 2024 год утверждено в количестве 21 штатная единица. На конец отчетного периода количество занятых ставок составило 15 единиц или 71,4% от плана, среднесписочная численность - 15 единиц.</w:t>
                  </w:r>
                </w:p>
                <w:p w:rsidR="009F54AC" w:rsidRDefault="0059407B">
                  <w:pPr>
                    <w:ind w:firstLine="700"/>
                    <w:jc w:val="both"/>
                  </w:pPr>
                  <w:r>
                    <w:rPr>
                      <w:color w:val="000000"/>
                      <w:sz w:val="28"/>
                      <w:szCs w:val="28"/>
                    </w:rPr>
                    <w:t>- штатное расписание по структурным подразделениям администрации составляет 29 штатных единиц, фактически занято 26 единицы и среднесписочная численность составила 27 единицы. </w:t>
                  </w:r>
                </w:p>
                <w:p w:rsidR="009F54AC" w:rsidRDefault="0059407B">
                  <w:pPr>
                    <w:ind w:firstLine="700"/>
                    <w:jc w:val="both"/>
                  </w:pPr>
                  <w:r>
                    <w:rPr>
                      <w:b/>
                      <w:bCs/>
                      <w:color w:val="000000"/>
                      <w:sz w:val="28"/>
                      <w:szCs w:val="28"/>
                    </w:rPr>
                    <w:t>Расходы.</w:t>
                  </w:r>
                </w:p>
                <w:p w:rsidR="009F54AC" w:rsidRDefault="0059407B">
                  <w:pPr>
                    <w:ind w:firstLine="700"/>
                    <w:jc w:val="both"/>
                  </w:pPr>
                  <w:r>
                    <w:rPr>
                      <w:color w:val="000000"/>
                      <w:sz w:val="28"/>
                      <w:szCs w:val="28"/>
                    </w:rPr>
                    <w:t>По разделу 04 00 «Национальная экономика» уточнённый план на 31.12.2024 года составил 492 150 369,51 рублей, в том числе за счёт бюджета автономного округа – 60 852 000,00 рублей.</w:t>
                  </w:r>
                </w:p>
                <w:p w:rsidR="009F54AC" w:rsidRDefault="0059407B">
                  <w:pPr>
                    <w:ind w:firstLine="700"/>
                    <w:jc w:val="both"/>
                  </w:pPr>
                  <w:r>
                    <w:rPr>
                      <w:color w:val="000000"/>
                      <w:sz w:val="28"/>
                      <w:szCs w:val="28"/>
                    </w:rPr>
                    <w:t>Расходы по разделу направлены на реализацию 11 муниципальных программ муниципального образования и непрограммных направлений деятельности и составили 462 257 037,49 рублей или 93,9% к уточнённому годовому плану. Удельный вес данных расходов в общей сумме расходов бюджета муниципального образования составляет 8,5%.</w:t>
                  </w:r>
                </w:p>
                <w:p w:rsidR="009F54AC" w:rsidRDefault="0059407B">
                  <w:pPr>
                    <w:ind w:firstLine="700"/>
                    <w:jc w:val="both"/>
                  </w:pPr>
                  <w:r>
                    <w:rPr>
                      <w:b/>
                      <w:bCs/>
                      <w:color w:val="000000"/>
                      <w:sz w:val="28"/>
                      <w:szCs w:val="28"/>
                    </w:rPr>
                    <w:t>1. Муниципальная программа «Поддержка занятости населения в городе Пыть-Яхе»</w:t>
                  </w:r>
                </w:p>
                <w:p w:rsidR="009F54AC" w:rsidRDefault="0059407B">
                  <w:pPr>
                    <w:ind w:firstLine="700"/>
                    <w:jc w:val="both"/>
                  </w:pPr>
                  <w:r>
                    <w:rPr>
                      <w:color w:val="000000"/>
                      <w:sz w:val="28"/>
                      <w:szCs w:val="28"/>
                    </w:rPr>
                    <w:t>Расходы по программе составили – 13 295 447,69 рублей, что составляет 99,9% к уточненному плану на год – 13 300 947,66 рублей,</w:t>
                  </w:r>
                  <w:r>
                    <w:rPr>
                      <w:color w:val="FF0000"/>
                      <w:sz w:val="28"/>
                      <w:szCs w:val="28"/>
                    </w:rPr>
                    <w:t> </w:t>
                  </w:r>
                  <w:r>
                    <w:rPr>
                      <w:color w:val="000000"/>
                      <w:sz w:val="28"/>
                      <w:szCs w:val="28"/>
                    </w:rPr>
                    <w:t>в том числе за счет средств бюджета автономного округа – 5 235 850,04 рублей или 99,9% к плану – 5 239 900,00 рублей, местного бюджета – 8 059 597,65 рублей или 99,9% к плану 8 061 047,66 рублей. </w:t>
                  </w:r>
                </w:p>
                <w:p w:rsidR="009F54AC" w:rsidRDefault="0059407B">
                  <w:pPr>
                    <w:ind w:firstLine="700"/>
                    <w:jc w:val="both"/>
                  </w:pPr>
                  <w:r>
                    <w:rPr>
                      <w:color w:val="000000"/>
                      <w:sz w:val="28"/>
                      <w:szCs w:val="28"/>
                    </w:rPr>
                    <w:t>Расходы в рамках муниципальной программы направлены:</w:t>
                  </w:r>
                </w:p>
                <w:p w:rsidR="009F54AC" w:rsidRDefault="0059407B">
                  <w:pPr>
                    <w:ind w:firstLine="700"/>
                    <w:jc w:val="both"/>
                  </w:pPr>
                  <w:r>
                    <w:rPr>
                      <w:color w:val="000000"/>
                      <w:sz w:val="28"/>
                      <w:szCs w:val="28"/>
                    </w:rPr>
                    <w:t>- на содержание отдела по труду и социальным вопросам в сумме 9 094 547,66 рублей или 100% от плановых назначений – 9 094 547,66 рублей;</w:t>
                  </w:r>
                </w:p>
                <w:p w:rsidR="009F54AC" w:rsidRDefault="0059407B">
                  <w:pPr>
                    <w:ind w:firstLine="700"/>
                    <w:jc w:val="both"/>
                  </w:pPr>
                  <w:r>
                    <w:rPr>
                      <w:color w:val="000000"/>
                      <w:sz w:val="28"/>
                      <w:szCs w:val="28"/>
                    </w:rPr>
                    <w:t>- расходы на реализацию мероприятий программы, направленных на обеспечение государственных гарантий в области содействия занятости населения на территории города Пыть-Яха в сумме 3 124 550,04 рублей при плане 3 128 600,00 рублей или 99,9% от плана; </w:t>
                  </w:r>
                </w:p>
                <w:p w:rsidR="009F54AC" w:rsidRDefault="0059407B">
                  <w:pPr>
                    <w:ind w:firstLine="700"/>
                    <w:jc w:val="both"/>
                  </w:pPr>
                  <w:r>
                    <w:rPr>
                      <w:color w:val="000000"/>
                      <w:sz w:val="28"/>
                      <w:szCs w:val="28"/>
                    </w:rPr>
                    <w:lastRenderedPageBreak/>
                    <w:t>- реализация комплекса процессных мероприятий «Безопасный труд» осуществляется в целях снижения уровней производственного травматизма и профессиональной заболеваемости в организациях муниципальной формы собственности в сумме 1 076 349,99 рублей или 99,9% от плановых назначений 1 077 800,00 рублей. </w:t>
                  </w:r>
                </w:p>
                <w:p w:rsidR="009F54AC" w:rsidRDefault="0059407B">
                  <w:pPr>
                    <w:ind w:firstLine="700"/>
                    <w:jc w:val="both"/>
                  </w:pPr>
                  <w:r>
                    <w:rPr>
                      <w:color w:val="000000"/>
                      <w:sz w:val="28"/>
                      <w:szCs w:val="28"/>
                    </w:rPr>
                    <w:t>         При реализации муниципальной программы достигнуты следующие результаты:</w:t>
                  </w:r>
                </w:p>
                <w:p w:rsidR="009F54AC" w:rsidRDefault="0059407B">
                  <w:pPr>
                    <w:ind w:firstLine="700"/>
                    <w:jc w:val="both"/>
                  </w:pPr>
                  <w:r>
                    <w:rPr>
                      <w:color w:val="000000"/>
                      <w:sz w:val="28"/>
                      <w:szCs w:val="28"/>
                    </w:rPr>
                    <w:t>- доля граждан, трудоустроенных в муниципальные учреждения, к общему числу граждан, обратившихся за содействием в поиске подходящей работы – 71,9% или 99,6% к плану (по состоянию на 31.12.2024 общее количество граждан, временно трудоустроенных в муниципальном образовании – 381 человек, в т.ч. количество граждан, временно трудоустроенных в муниципальные учреждения – 274 человек);</w:t>
                  </w:r>
                </w:p>
                <w:p w:rsidR="009F54AC" w:rsidRDefault="0059407B">
                  <w:pPr>
                    <w:ind w:firstLine="700"/>
                    <w:jc w:val="both"/>
                  </w:pPr>
                  <w:r>
                    <w:rPr>
                      <w:color w:val="000000"/>
                      <w:sz w:val="28"/>
                      <w:szCs w:val="28"/>
                    </w:rPr>
                    <w:t>- 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 к общему числу пострадавших на производстве с утратой трудоспособности на 1 рабочий день и более ­– 4 чел. к плану 7 чел.;</w:t>
                  </w:r>
                </w:p>
                <w:p w:rsidR="009F54AC" w:rsidRDefault="0059407B">
                  <w:pPr>
                    <w:ind w:firstLine="700"/>
                    <w:jc w:val="both"/>
                  </w:pPr>
                  <w:r>
                    <w:rPr>
                      <w:color w:val="000000"/>
                      <w:sz w:val="28"/>
                      <w:szCs w:val="28"/>
                    </w:rPr>
                    <w:t>- сохранение макро экономической стабильности, низкого уровня безработицы и снижение уровня структурной безработицы 0,10% или 100% к плану (0,17%).  </w:t>
                  </w:r>
                </w:p>
                <w:p w:rsidR="009F54AC" w:rsidRDefault="0059407B">
                  <w:pPr>
                    <w:ind w:firstLine="700"/>
                    <w:jc w:val="both"/>
                  </w:pPr>
                  <w:r>
                    <w:rPr>
                      <w:color w:val="000000"/>
                      <w:sz w:val="28"/>
                      <w:szCs w:val="28"/>
                    </w:rPr>
                    <w:t>В 2024 году в результате реализации мероприятий Программы, направленных на обеспечение государственных гарантий в области содействия занятости населения на территории города Пыть-Яха, в учреждения муниципальной формы собственности трудоустроено на общественные работы - 1 человек, 2 гражданина испытывающих трудности в поиске работы, 265 несовершеннолетних граждан в возрасте от 14 до 18 лет, 2 выпускника образовательных организаций высшего образования, 1 гражданин пенсионного возраста, 2 чел., относящих к категории одиноких родителя, родителей воспитывающих детей-инвалидов, многодетных родителей, женщин, осуществляющих уход за ребенком в возрасте до 3-х лет, создано 1 специальное рабочее место для трудоустройства инвалидов, а также количество прошедших стажировку инвалидов трудоспособного возраста, в т.ч. инвалида молодого возраста и инвалида, получившего инвалидность впервые составляет 1 чел.</w:t>
                  </w:r>
                </w:p>
                <w:p w:rsidR="009F54AC" w:rsidRDefault="0059407B">
                  <w:pPr>
                    <w:ind w:firstLine="700"/>
                    <w:jc w:val="both"/>
                  </w:pPr>
                  <w:r>
                    <w:rPr>
                      <w:color w:val="000000"/>
                      <w:sz w:val="28"/>
                      <w:szCs w:val="28"/>
                    </w:rPr>
                    <w:t>В результате реализации мероприятий Программы, направленных на улучшение условий и охраны труда в городе Пыть-Яхе, в 2024 году организовано и проведено 4 конкурса по охране труда. Проведено обучение по охране труда 263 руководителя и специалистов, обучение приемам оказания первой помощи 409 специалистов из числа работников муниципальных учреждений, обучение приемам применения СИЗ -17 специалистов из числа работников муниципальных учреждений. В учреждениях муниципальной формы собственности проведена специальная оценка условий труда 30 рабочих мест и оценка профессиональных рисков 127 рабочих мест. Приобретена наградная продукция для вручения победителям и призерам конкурсов по охране труда. Изготовлено и распространено 500 буклетов по охране труда, 100 производственных календарей на 2025 год.</w:t>
                  </w:r>
                </w:p>
                <w:p w:rsidR="009F54AC" w:rsidRDefault="0059407B">
                  <w:pPr>
                    <w:ind w:firstLine="700"/>
                    <w:jc w:val="both"/>
                  </w:pPr>
                  <w:r>
                    <w:rPr>
                      <w:b/>
                      <w:bCs/>
                      <w:color w:val="000000"/>
                      <w:sz w:val="28"/>
                      <w:szCs w:val="28"/>
                    </w:rPr>
                    <w:lastRenderedPageBreak/>
                    <w:t>2. Муниципальная программа «Развитие агропромышленного комплекса в городе Пыть-Яхе»</w:t>
                  </w:r>
                </w:p>
                <w:p w:rsidR="009F54AC" w:rsidRDefault="0059407B">
                  <w:pPr>
                    <w:ind w:firstLine="700"/>
                    <w:jc w:val="both"/>
                  </w:pPr>
                  <w:r>
                    <w:rPr>
                      <w:color w:val="000000"/>
                      <w:sz w:val="28"/>
                      <w:szCs w:val="28"/>
                    </w:rPr>
                    <w:t>Расходы по программе составили 24 679 550,25 рублей, что составляет 91,9% к уточненному плану на год – 26 844 974,7 рубля, в том числе за счёт средств автономного округа 8 396 770,88 рублей или 97,4% к плану – 8 619 900,00 рублей, местного бюджета – 16 282 779,37 рублей или 89,3% к плану – 18 225 074,67 рубля. </w:t>
                  </w:r>
                </w:p>
                <w:p w:rsidR="009F54AC" w:rsidRDefault="0059407B">
                  <w:pPr>
                    <w:ind w:firstLine="700"/>
                    <w:jc w:val="both"/>
                  </w:pPr>
                  <w:r>
                    <w:rPr>
                      <w:color w:val="000000"/>
                      <w:sz w:val="28"/>
                      <w:szCs w:val="28"/>
                    </w:rPr>
                    <w:t>Расходы в рамках муниципальной программы направлены: </w:t>
                  </w:r>
                </w:p>
                <w:p w:rsidR="009F54AC" w:rsidRDefault="0059407B">
                  <w:pPr>
                    <w:ind w:firstLine="700"/>
                    <w:jc w:val="both"/>
                  </w:pPr>
                  <w:r>
                    <w:rPr>
                      <w:color w:val="000000"/>
                      <w:sz w:val="28"/>
                      <w:szCs w:val="28"/>
                    </w:rPr>
                    <w:t>- на поддержку животноводства, переработку и реализацию продукции животноводства в сумме 7 971 402,88 рубля или 97,6% к плану – 8 164 800,00 рублей (заключено одно соглашение на предоставление субсидий на поддержку и развитие животноводства с главой КФХ, а также 9 дополнительных соглашений). В связи с закрытием КФХ Захаров М.Д в 2024 году сократился объем предоставляемой финансовой поддержки;</w:t>
                  </w:r>
                </w:p>
                <w:p w:rsidR="009F54AC" w:rsidRDefault="0059407B">
                  <w:pPr>
                    <w:ind w:firstLine="700"/>
                    <w:jc w:val="both"/>
                  </w:pPr>
                  <w:r>
                    <w:rPr>
                      <w:color w:val="000000"/>
                      <w:sz w:val="28"/>
                      <w:szCs w:val="28"/>
                    </w:rPr>
                    <w:t>- на обеспечение стабильной благополучной эпизоотической обстановки в муниципальном образовании и защиту населения от болезней общих для человека и животных в сумме 16 614 147,37 рублей (в том числе бюджет автономного округа – 425 368,00 рублей и местный бюджет – 16 188 779,37 рублей) или 89,4% к плану – 18 586 174,67 рубля;</w:t>
                  </w:r>
                </w:p>
                <w:p w:rsidR="009F54AC" w:rsidRDefault="0059407B">
                  <w:pPr>
                    <w:ind w:firstLine="700"/>
                    <w:jc w:val="both"/>
                  </w:pPr>
                  <w:r>
                    <w:rPr>
                      <w:color w:val="000000"/>
                      <w:sz w:val="28"/>
                      <w:szCs w:val="28"/>
                    </w:rPr>
                    <w:t>- на создание общих условий функционирования и развития сельского хозяйства в сумме 94 000,00 или 100 % от плановых назначений. </w:t>
                  </w:r>
                </w:p>
                <w:p w:rsidR="009F54AC" w:rsidRDefault="0059407B">
                  <w:pPr>
                    <w:ind w:firstLine="700"/>
                    <w:jc w:val="both"/>
                  </w:pPr>
                  <w:r>
                    <w:rPr>
                      <w:color w:val="000000"/>
                      <w:sz w:val="28"/>
                      <w:szCs w:val="28"/>
                    </w:rPr>
                    <w:t>При реализации муниципальной программы достигнуты следующие результаты: </w:t>
                  </w:r>
                </w:p>
                <w:p w:rsidR="009F54AC" w:rsidRDefault="0059407B">
                  <w:pPr>
                    <w:ind w:firstLine="700"/>
                    <w:jc w:val="both"/>
                  </w:pPr>
                  <w:r>
                    <w:rPr>
                      <w:color w:val="000000"/>
                      <w:sz w:val="28"/>
                      <w:szCs w:val="28"/>
                    </w:rPr>
                    <w:t>Уровень обеспеченности населения города Пыть-Яха сельскохозяйственной продукцией собственного производства от норматива потребления продукции:</w:t>
                  </w:r>
                </w:p>
                <w:p w:rsidR="009F54AC" w:rsidRDefault="0059407B">
                  <w:pPr>
                    <w:ind w:left="360" w:firstLine="700"/>
                    <w:jc w:val="both"/>
                  </w:pPr>
                  <w:r>
                    <w:rPr>
                      <w:color w:val="000000"/>
                      <w:sz w:val="28"/>
                      <w:szCs w:val="28"/>
                    </w:rPr>
                    <w:t>- мясо и мясопродукты (в пересчете на мясо) – 0,9% или 100% к плану;</w:t>
                  </w:r>
                </w:p>
                <w:p w:rsidR="009F54AC" w:rsidRDefault="0059407B">
                  <w:pPr>
                    <w:ind w:left="360" w:firstLine="700"/>
                    <w:jc w:val="both"/>
                  </w:pPr>
                  <w:r>
                    <w:rPr>
                      <w:color w:val="000000"/>
                      <w:sz w:val="28"/>
                      <w:szCs w:val="28"/>
                    </w:rPr>
                    <w:t>- молоко и молокопродукты – 3% или 115,4% к плану 2,6%;</w:t>
                  </w:r>
                </w:p>
                <w:p w:rsidR="009F54AC" w:rsidRDefault="0059407B">
                  <w:pPr>
                    <w:ind w:left="360" w:firstLine="700"/>
                    <w:jc w:val="both"/>
                  </w:pPr>
                  <w:r>
                    <w:rPr>
                      <w:color w:val="000000"/>
                      <w:sz w:val="28"/>
                      <w:szCs w:val="28"/>
                    </w:rPr>
                    <w:t>- количество животных без владельцев, прошедших отлов, транспортировку, регистрацию, учет, содержание, лечение (вакцинацию) (ед.) – 220 или 91,7% к плану в 240 единиц;</w:t>
                  </w:r>
                </w:p>
                <w:p w:rsidR="009F54AC" w:rsidRDefault="0059407B">
                  <w:pPr>
                    <w:ind w:left="360" w:firstLine="700"/>
                    <w:jc w:val="both"/>
                  </w:pPr>
                  <w:r>
                    <w:rPr>
                      <w:color w:val="000000"/>
                      <w:sz w:val="28"/>
                      <w:szCs w:val="28"/>
                    </w:rPr>
                    <w:t>- производство (реализация) мяса (скот на убой) в живом весе (КРС и свиньи) – 25,7 тонн или 100% к плану 25,7 тонн; </w:t>
                  </w:r>
                </w:p>
                <w:p w:rsidR="009F54AC" w:rsidRDefault="0059407B">
                  <w:pPr>
                    <w:ind w:left="360" w:firstLine="700"/>
                    <w:jc w:val="both"/>
                  </w:pPr>
                  <w:r>
                    <w:rPr>
                      <w:color w:val="000000"/>
                      <w:sz w:val="28"/>
                      <w:szCs w:val="28"/>
                    </w:rPr>
                    <w:t>- производство молока в хозяйствах всех категорий – 386,5 тонн или 112,4% к плану в 343,8 тонн;</w:t>
                  </w:r>
                </w:p>
                <w:p w:rsidR="009F54AC" w:rsidRDefault="0059407B">
                  <w:pPr>
                    <w:ind w:left="700" w:firstLine="360"/>
                    <w:jc w:val="both"/>
                  </w:pPr>
                  <w:r>
                    <w:rPr>
                      <w:color w:val="000000"/>
                      <w:sz w:val="28"/>
                      <w:szCs w:val="28"/>
                    </w:rPr>
                    <w:t>- количество выставочно-ярмарочных мероприятий –1 ед. или 100% к плану.</w:t>
                  </w:r>
                </w:p>
                <w:p w:rsidR="009F54AC" w:rsidRDefault="0059407B">
                  <w:pPr>
                    <w:ind w:firstLine="700"/>
                    <w:jc w:val="both"/>
                  </w:pPr>
                  <w:r>
                    <w:rPr>
                      <w:b/>
                      <w:bCs/>
                      <w:color w:val="000000"/>
                      <w:sz w:val="28"/>
                      <w:szCs w:val="28"/>
                    </w:rPr>
                    <w:t>3. Муниципальная программа «Развитие жилищной сферы в городе Пыть-Яхе»</w:t>
                  </w:r>
                </w:p>
                <w:p w:rsidR="009F54AC" w:rsidRDefault="0059407B">
                  <w:pPr>
                    <w:ind w:firstLine="700"/>
                    <w:jc w:val="both"/>
                  </w:pPr>
                  <w:r>
                    <w:rPr>
                      <w:color w:val="000000"/>
                      <w:sz w:val="28"/>
                      <w:szCs w:val="28"/>
                    </w:rPr>
                    <w:t>Произведены расходы в сумме 37 082 696,98 рублей или 94,4% от плановых назначений – 39 298 281,95 рубль.</w:t>
                  </w:r>
                </w:p>
                <w:p w:rsidR="009F54AC" w:rsidRDefault="0059407B">
                  <w:pPr>
                    <w:ind w:firstLine="700"/>
                    <w:jc w:val="both"/>
                  </w:pPr>
                  <w:r>
                    <w:rPr>
                      <w:color w:val="000000"/>
                      <w:sz w:val="28"/>
                      <w:szCs w:val="28"/>
                    </w:rPr>
                    <w:t>Расходы в рамках муниципальной программы направлены: </w:t>
                  </w:r>
                </w:p>
                <w:p w:rsidR="009F54AC" w:rsidRDefault="0059407B">
                  <w:pPr>
                    <w:ind w:firstLine="700"/>
                    <w:jc w:val="both"/>
                  </w:pPr>
                  <w:r>
                    <w:rPr>
                      <w:color w:val="000000"/>
                      <w:sz w:val="28"/>
                      <w:szCs w:val="28"/>
                    </w:rPr>
                    <w:t xml:space="preserve">- на реализацию мероприятий в области градостроительной деятельности в сумме 5 213 250,00 рублей или 85,1% от плановых назначений – 6 127 697,57 рублей, в том числе за счет средств бюджета автономного округа – 4 744 057,50 рублей или 91,5% от плановых назначений – 5 186 300,00 рублей. Расходы произведены в </w:t>
                  </w:r>
                  <w:r>
                    <w:rPr>
                      <w:color w:val="000000"/>
                      <w:sz w:val="28"/>
                      <w:szCs w:val="28"/>
                    </w:rPr>
                    <w:lastRenderedPageBreak/>
                    <w:t>пределах принятых бюджетных обязательств, оплата произведена в соответствии с условиями договоров за фактически выполненные работы (услуги, поставки). Выполнены работы по разработке проекта планировки и проекта межевания территории: мкр. 8 Горка, улично-дорожной сети; мкр. 1 Центральный (изменение границ земельного участка под новый объект учебно-образовательного назначения на 700 мест, организацию парковочных мест для объекта образования); мкр. 1 Центральный г. Пыть-Яха, ориентировочная площадь территории – 3,07 га; южной промышленной зоны (массива); мкр. 3 Кедровый г. Пыть-Яха; мкр. 6 Пионерный, в границах улиц Магистральная, Фармана Салманова г. Пыть-Яха; приют для животных.</w:t>
                  </w:r>
                </w:p>
                <w:p w:rsidR="009F54AC" w:rsidRDefault="0059407B">
                  <w:pPr>
                    <w:ind w:firstLine="700"/>
                    <w:jc w:val="both"/>
                  </w:pPr>
                  <w:r>
                    <w:rPr>
                      <w:color w:val="000000"/>
                      <w:sz w:val="28"/>
                      <w:szCs w:val="28"/>
                    </w:rPr>
                    <w:t>- обеспечение выполнения функций казенного учреждения «Управление капитального строительства» в сумме 31 869 446,98 рублей или 96,1% к плану 33 170 584,38 рубля. Расходы произведены в пределах сметы учреждения, по договорам произведена оплата в пределах принятых бюджетных обязательств. </w:t>
                  </w:r>
                </w:p>
                <w:p w:rsidR="009F54AC" w:rsidRDefault="0059407B">
                  <w:pPr>
                    <w:ind w:firstLine="700"/>
                    <w:jc w:val="both"/>
                  </w:pPr>
                  <w:r>
                    <w:rPr>
                      <w:b/>
                      <w:bCs/>
                      <w:color w:val="000000"/>
                      <w:sz w:val="28"/>
                      <w:szCs w:val="28"/>
                    </w:rPr>
                    <w:t>4. Муниципальная программа «Развитие экономического потенциала города Пыть-Яха»</w:t>
                  </w:r>
                </w:p>
                <w:p w:rsidR="009F54AC" w:rsidRDefault="0059407B">
                  <w:pPr>
                    <w:ind w:firstLine="700"/>
                    <w:jc w:val="both"/>
                  </w:pPr>
                  <w:r>
                    <w:rPr>
                      <w:color w:val="000000"/>
                      <w:sz w:val="28"/>
                      <w:szCs w:val="28"/>
                    </w:rPr>
                    <w:t>Исполнение по муниципальной программе за отчетный период составило 6 496 300,00 рублей или 100% от плановых назначений 6 496 300,00 рублей, в том числе:</w:t>
                  </w:r>
                </w:p>
                <w:p w:rsidR="009F54AC" w:rsidRDefault="0059407B">
                  <w:pPr>
                    <w:ind w:firstLine="700"/>
                    <w:jc w:val="both"/>
                  </w:pPr>
                  <w:r>
                    <w:rPr>
                      <w:b/>
                      <w:bCs/>
                      <w:color w:val="000000"/>
                      <w:sz w:val="28"/>
                      <w:szCs w:val="28"/>
                    </w:rPr>
                    <w:t>Подпрограмма «Развитие малого и среднего предпринимательства»</w:t>
                  </w:r>
                  <w:r>
                    <w:rPr>
                      <w:color w:val="000000"/>
                      <w:sz w:val="28"/>
                      <w:szCs w:val="28"/>
                    </w:rPr>
                    <w:t> </w:t>
                  </w:r>
                </w:p>
                <w:p w:rsidR="009F54AC" w:rsidRDefault="0059407B">
                  <w:pPr>
                    <w:ind w:firstLine="700"/>
                    <w:jc w:val="both"/>
                  </w:pPr>
                  <w:r>
                    <w:rPr>
                      <w:color w:val="000000"/>
                      <w:sz w:val="28"/>
                      <w:szCs w:val="28"/>
                    </w:rPr>
                    <w:t>Расходы направлены на финансовую поддержку субъектов малого и среднего предпринимательства, осуществляющих социально значимые (приоритетные) виды деятельности в городе Пыть-Яхе, а также на создание условий для развития малого и среднего предпринимательства в городе:</w:t>
                  </w:r>
                </w:p>
                <w:p w:rsidR="009F54AC" w:rsidRDefault="0059407B">
                  <w:pPr>
                    <w:ind w:firstLine="700"/>
                    <w:jc w:val="both"/>
                  </w:pPr>
                  <w:r>
                    <w:rPr>
                      <w:color w:val="000000"/>
                      <w:sz w:val="28"/>
                      <w:szCs w:val="28"/>
                    </w:rPr>
                    <w:t>- в рамках регионального проекта «Акселерация субъектов малого и среднего предпринимательства» предоставлена поддержка 45 субъектам МСП (заключено 55 договоров о предоставлении субсидии) на сумму 3 943 400,00 рублей: 35 субъектам МСП на возмещение части затрат на аренду (субаренду) нежилых помещений – 2 643 400,00 рублей и 7 субъектам МСП на возмещение части затрат на приобретение оборудования (основных средств) и лицензионных программных продуктов – 735 600,00 рублей,      13 субъектам МСП на возмещение части затрат на оплату коммунальных услуг нежилых помещений – 564 400,00 рублей;</w:t>
                  </w:r>
                </w:p>
                <w:p w:rsidR="009F54AC" w:rsidRDefault="0059407B">
                  <w:pPr>
                    <w:ind w:firstLine="700"/>
                    <w:jc w:val="both"/>
                  </w:pPr>
                  <w:r>
                    <w:rPr>
                      <w:color w:val="000000"/>
                      <w:sz w:val="28"/>
                      <w:szCs w:val="28"/>
                    </w:rPr>
                    <w:t>- в рамках реализации мероприятий регионального проекта «Создание условий для легкого старта и комфортного ведения бизнеса» - предоставлена поддержка 4 субъектами МСП на сумму 322 700,00 рублей, в том числе: </w:t>
                  </w:r>
                </w:p>
                <w:p w:rsidR="009F54AC" w:rsidRDefault="0059407B">
                  <w:pPr>
                    <w:ind w:firstLine="700"/>
                    <w:jc w:val="both"/>
                  </w:pPr>
                  <w:r>
                    <w:rPr>
                      <w:color w:val="000000"/>
                      <w:sz w:val="28"/>
                      <w:szCs w:val="28"/>
                    </w:rPr>
                    <w:t>-        на возмещение части затрат на аренду (субаренду) нежилых помещений заключено 3 договора на сумму 293 100,00 рублей;</w:t>
                  </w:r>
                </w:p>
                <w:p w:rsidR="009F54AC" w:rsidRDefault="0059407B">
                  <w:pPr>
                    <w:ind w:firstLine="700"/>
                    <w:jc w:val="both"/>
                  </w:pPr>
                  <w:r>
                    <w:rPr>
                      <w:color w:val="000000"/>
                      <w:sz w:val="28"/>
                      <w:szCs w:val="28"/>
                    </w:rPr>
                    <w:t>-        на возмещение части затрат на приобретение основных средств (оборудование, оргтехника) заключен 1 договор на сумму 29 600 рублей.</w:t>
                  </w:r>
                </w:p>
                <w:p w:rsidR="009F54AC" w:rsidRDefault="0059407B">
                  <w:pPr>
                    <w:ind w:firstLine="700"/>
                    <w:jc w:val="both"/>
                  </w:pPr>
                  <w:r>
                    <w:rPr>
                      <w:color w:val="000000"/>
                      <w:sz w:val="28"/>
                      <w:szCs w:val="28"/>
                    </w:rPr>
                    <w:t xml:space="preserve">- в рамках реализации комплекса процессных мероприятий «Предоставление грантовой поддержки социальному и креативному предпринимательству» по результатам конкурсного отбора заключено соглашение №94 от 24.12.2024 с ИП Логачева Е. А. на получение гранта главы города Пыть-Яха в форме субсидии субъектам малого и среднего предпринимательства, осуществляющим деятельность в </w:t>
                  </w:r>
                  <w:r>
                    <w:rPr>
                      <w:color w:val="000000"/>
                      <w:sz w:val="28"/>
                      <w:szCs w:val="28"/>
                    </w:rPr>
                    <w:lastRenderedPageBreak/>
                    <w:t>социальной и креативной сфере в целях реализации проекта «Женский фитнес-центр» в сумме 1 500 000,00 рублей, исполнение составило 100% от плана;</w:t>
                  </w:r>
                </w:p>
                <w:p w:rsidR="009F54AC" w:rsidRDefault="0059407B">
                  <w:pPr>
                    <w:ind w:firstLine="700"/>
                    <w:jc w:val="both"/>
                  </w:pPr>
                  <w:r>
                    <w:rPr>
                      <w:color w:val="000000"/>
                      <w:sz w:val="28"/>
                      <w:szCs w:val="28"/>
                    </w:rPr>
                    <w:t>- в рамках реализации комплекса процессных мероприятий «Пропаганда и популяризация предпринимательской деятельности» получили финансовую поддержку в сумме 630 200,00 рублей или 100% к плану 630 200,00 рублей. </w:t>
                  </w:r>
                </w:p>
                <w:p w:rsidR="009F54AC" w:rsidRDefault="0059407B">
                  <w:pPr>
                    <w:ind w:firstLine="700"/>
                    <w:jc w:val="both"/>
                  </w:pPr>
                  <w:r>
                    <w:rPr>
                      <w:color w:val="000000"/>
                      <w:sz w:val="28"/>
                      <w:szCs w:val="28"/>
                    </w:rPr>
                    <w:t>Оказаны услуги по монтажу и демонтажу торговых палаток (всего произведен монтаж и демонтаж 36 торговых палаток), также проведено интерактивное обучение и тренинг, поставлен мобильный шатер, оказаны услуги по изготовлению и поставке торговых палаток (в количестве 3 штук и 1 тента).</w:t>
                  </w:r>
                </w:p>
                <w:p w:rsidR="009F54AC" w:rsidRDefault="0059407B">
                  <w:pPr>
                    <w:ind w:firstLine="700"/>
                    <w:jc w:val="both"/>
                  </w:pPr>
                  <w:r>
                    <w:rPr>
                      <w:color w:val="000000"/>
                      <w:sz w:val="28"/>
                      <w:szCs w:val="28"/>
                    </w:rPr>
                    <w:t>Кассовое исполнение составило 100 % от годового плана. </w:t>
                  </w:r>
                </w:p>
                <w:p w:rsidR="009F54AC" w:rsidRDefault="0059407B">
                  <w:pPr>
                    <w:ind w:firstLine="340"/>
                    <w:jc w:val="both"/>
                  </w:pPr>
                  <w:r>
                    <w:rPr>
                      <w:b/>
                      <w:bCs/>
                      <w:color w:val="000000"/>
                      <w:sz w:val="28"/>
                      <w:szCs w:val="28"/>
                    </w:rPr>
                    <w:t>Подпрограмма «Обеспечение защиты прав потребителей»</w:t>
                  </w:r>
                  <w:r>
                    <w:rPr>
                      <w:color w:val="000000"/>
                      <w:sz w:val="28"/>
                      <w:szCs w:val="28"/>
                    </w:rPr>
                    <w:t> -   исполнение составило 100 000,00 рублей или 100 % от плановых назначений. </w:t>
                  </w:r>
                </w:p>
                <w:p w:rsidR="009F54AC" w:rsidRDefault="0059407B">
                  <w:pPr>
                    <w:ind w:firstLine="340"/>
                    <w:jc w:val="both"/>
                  </w:pPr>
                  <w:r>
                    <w:rPr>
                      <w:color w:val="000000"/>
                      <w:sz w:val="28"/>
                      <w:szCs w:val="28"/>
                    </w:rPr>
                    <w:t>В 2024 году проведено 9 информационно-просветительских мероприятий (охват составил 230 человек). Оказаны услуги по изготовлению и поставке сувенирной продукции (блокноты, календари, ручки) на сумму 100 000,00 рублей с ООО «Лучший выбор».</w:t>
                  </w:r>
                </w:p>
                <w:p w:rsidR="009F54AC" w:rsidRDefault="0059407B">
                  <w:pPr>
                    <w:ind w:firstLine="340"/>
                    <w:jc w:val="both"/>
                  </w:pPr>
                  <w:r>
                    <w:rPr>
                      <w:color w:val="000000"/>
                      <w:sz w:val="28"/>
                      <w:szCs w:val="28"/>
                    </w:rPr>
                    <w:t>Показатели, установленные муниципальной программой «Развитие экономического потенциала города Пыть-Яха» достигнуты в полном объеме.</w:t>
                  </w:r>
                </w:p>
                <w:p w:rsidR="009F54AC" w:rsidRDefault="0059407B">
                  <w:pPr>
                    <w:ind w:firstLine="700"/>
                    <w:jc w:val="both"/>
                  </w:pPr>
                  <w:r>
                    <w:rPr>
                      <w:b/>
                      <w:bCs/>
                      <w:color w:val="000000"/>
                      <w:sz w:val="28"/>
                      <w:szCs w:val="28"/>
                    </w:rPr>
                    <w:t>5. Муниципальная программа «Цифровое развитие города Пыть-Яха»</w:t>
                  </w:r>
                </w:p>
                <w:p w:rsidR="009F54AC" w:rsidRDefault="0059407B">
                  <w:pPr>
                    <w:ind w:firstLine="700"/>
                    <w:jc w:val="both"/>
                  </w:pPr>
                  <w:r>
                    <w:rPr>
                      <w:color w:val="000000"/>
                      <w:sz w:val="28"/>
                      <w:szCs w:val="28"/>
                    </w:rPr>
                    <w:t>Исполнение по муниципальной программе составило 14 247 684,30 рубля или 99,7% от плана – 14 289 100,00 рублей. Расходы направлены на услуги в области информационных технологий.</w:t>
                  </w:r>
                </w:p>
                <w:p w:rsidR="009F54AC" w:rsidRDefault="0059407B">
                  <w:pPr>
                    <w:ind w:firstLine="700"/>
                    <w:jc w:val="both"/>
                  </w:pPr>
                  <w:r>
                    <w:rPr>
                      <w:color w:val="000000"/>
                      <w:sz w:val="28"/>
                      <w:szCs w:val="28"/>
                    </w:rPr>
                    <w:t>При реализации муниципальной программы достигнуты следующие результаты: </w:t>
                  </w:r>
                </w:p>
                <w:p w:rsidR="009F54AC" w:rsidRDefault="0059407B">
                  <w:pPr>
                    <w:ind w:firstLine="700"/>
                    <w:jc w:val="both"/>
                  </w:pPr>
                  <w:r>
                    <w:rPr>
                      <w:color w:val="000000"/>
                      <w:sz w:val="28"/>
                      <w:szCs w:val="28"/>
                    </w:rPr>
                    <w:t>- разработка и информационно-техническая поддержка официальных сайтов администрации города Пыть-Яха и Думы города Пыть-Яха, Инвестиционного портала города Пыть-Яха, Счетно-контрольной палаты г. Пыть-Яха (шт.) – 4 при плане 4 или 100%;</w:t>
                  </w:r>
                </w:p>
                <w:p w:rsidR="009F54AC" w:rsidRDefault="0059407B">
                  <w:pPr>
                    <w:ind w:firstLine="700"/>
                    <w:jc w:val="both"/>
                  </w:pPr>
                  <w:r>
                    <w:rPr>
                      <w:color w:val="000000"/>
                      <w:sz w:val="28"/>
                      <w:szCs w:val="28"/>
                    </w:rPr>
                    <w:t>- приобретение и (или) сопровождение программного обеспечения в соответствующем году – 10 шт. или 100% к плану;</w:t>
                  </w:r>
                </w:p>
                <w:p w:rsidR="009F54AC" w:rsidRDefault="0059407B">
                  <w:pPr>
                    <w:ind w:firstLine="700"/>
                    <w:jc w:val="both"/>
                  </w:pPr>
                  <w:r>
                    <w:rPr>
                      <w:color w:val="000000"/>
                      <w:sz w:val="28"/>
                      <w:szCs w:val="28"/>
                    </w:rPr>
                    <w:t>- сопровождение системы информационной безопасности – 100% к плану (4 шт.)</w:t>
                  </w:r>
                </w:p>
                <w:p w:rsidR="009F54AC" w:rsidRDefault="0059407B">
                  <w:pPr>
                    <w:ind w:firstLine="700"/>
                    <w:jc w:val="both"/>
                  </w:pPr>
                  <w:r>
                    <w:rPr>
                      <w:color w:val="000000"/>
                      <w:sz w:val="28"/>
                      <w:szCs w:val="28"/>
                    </w:rPr>
                    <w:t>- доля модернизации и обеспечения оборудованием – 38% или 100% к плану;</w:t>
                  </w:r>
                </w:p>
                <w:p w:rsidR="009F54AC" w:rsidRDefault="0059407B">
                  <w:pPr>
                    <w:ind w:firstLine="700"/>
                    <w:jc w:val="both"/>
                  </w:pPr>
                  <w:r>
                    <w:rPr>
                      <w:color w:val="000000"/>
                      <w:sz w:val="28"/>
                      <w:szCs w:val="28"/>
                    </w:rPr>
                    <w:t>- стоимостная доля закупаемого и (или) арендуемого исполнительными органами муниципального образования, отечественного программного обеспечения 80% (100% к плану). </w:t>
                  </w:r>
                </w:p>
                <w:p w:rsidR="009F54AC" w:rsidRDefault="0059407B">
                  <w:pPr>
                    <w:ind w:firstLine="700"/>
                    <w:jc w:val="both"/>
                  </w:pPr>
                  <w:r>
                    <w:rPr>
                      <w:b/>
                      <w:bCs/>
                      <w:color w:val="000000"/>
                      <w:sz w:val="28"/>
                      <w:szCs w:val="28"/>
                    </w:rPr>
                    <w:t>6. Муниципальная программа «Современная транспортная система города Пыть-Яха»</w:t>
                  </w:r>
                </w:p>
                <w:p w:rsidR="009F54AC" w:rsidRDefault="0059407B">
                  <w:pPr>
                    <w:ind w:firstLine="700"/>
                    <w:jc w:val="both"/>
                  </w:pPr>
                  <w:r>
                    <w:rPr>
                      <w:color w:val="000000"/>
                      <w:sz w:val="28"/>
                      <w:szCs w:val="28"/>
                    </w:rPr>
                    <w:t>Произведены расходы в сумме 308 063 681,29 рубль или 92,4% от плановых назначений – 333 465 333,03 рубля.</w:t>
                  </w:r>
                </w:p>
                <w:p w:rsidR="009F54AC" w:rsidRDefault="0059407B">
                  <w:pPr>
                    <w:ind w:firstLine="700"/>
                    <w:jc w:val="both"/>
                  </w:pPr>
                  <w:r>
                    <w:rPr>
                      <w:color w:val="000000"/>
                      <w:sz w:val="28"/>
                      <w:szCs w:val="28"/>
                    </w:rPr>
                    <w:t xml:space="preserve">На осуществление регулярных перевозок пассажиров и багажа по регулируемым тарифам по муниципальным маршрутам г. Пыть-Яха автомобильным транспортом за отчетный год направлено 79 162 897,06 рублей или 95,1% от плана в 83 206 694,69 рубля. Расходы направлены на обеспечение устойчивого функционирования </w:t>
                  </w:r>
                  <w:r>
                    <w:rPr>
                      <w:color w:val="000000"/>
                      <w:sz w:val="28"/>
                      <w:szCs w:val="28"/>
                    </w:rPr>
                    <w:lastRenderedPageBreak/>
                    <w:t>городского общественного транспорта. В отчетном периоде тариф на перевозку пассажира на городском маршрутном транспорте составил 32,0 рублей.</w:t>
                  </w:r>
                </w:p>
                <w:p w:rsidR="009F54AC" w:rsidRDefault="0059407B">
                  <w:pPr>
                    <w:ind w:firstLine="700"/>
                    <w:jc w:val="both"/>
                  </w:pPr>
                  <w:r>
                    <w:rPr>
                      <w:color w:val="000000"/>
                      <w:sz w:val="28"/>
                      <w:szCs w:val="28"/>
                    </w:rPr>
                    <w:t>В соответствии с решением Думы города Пыть-Яха от 11.12.2023 № 221 «О бюджете города Пыть-Яха на 2024 год и на плановый период 2025 и 2026 годов» (в ред. от 08.04.2024 № 252, от 05.08.2024 № 268, от 18.10.2024 № 294, от 21.11.2024 № 303, от 23.12.2024 №305) дорожный фонд муниципального образования утверждён в сумме 380 712 118,53 рублей. На 31.12.2024 года уточненный план по дорожному фонду составляет 250 258 638,34 рублей. Исполнение составило 228 900 784,23 рубля или 91,5% от плана.</w:t>
                  </w:r>
                </w:p>
                <w:p w:rsidR="009F54AC" w:rsidRDefault="0059407B">
                  <w:pPr>
                    <w:ind w:firstLine="700"/>
                    <w:jc w:val="both"/>
                  </w:pPr>
                  <w:r>
                    <w:rPr>
                      <w:color w:val="000000"/>
                      <w:sz w:val="28"/>
                      <w:szCs w:val="28"/>
                    </w:rPr>
                    <w:t> Расходы в отчетном периоде направлены на: </w:t>
                  </w:r>
                </w:p>
                <w:p w:rsidR="009F54AC" w:rsidRDefault="0059407B">
                  <w:pPr>
                    <w:ind w:firstLine="700"/>
                    <w:jc w:val="both"/>
                  </w:pPr>
                  <w:r>
                    <w:rPr>
                      <w:color w:val="000000"/>
                      <w:sz w:val="28"/>
                      <w:szCs w:val="28"/>
                    </w:rPr>
                    <w:t>-</w:t>
                  </w:r>
                  <w:r>
                    <w:rPr>
                      <w:color w:val="FF0000"/>
                      <w:sz w:val="28"/>
                      <w:szCs w:val="28"/>
                    </w:rPr>
                    <w:t> </w:t>
                  </w:r>
                  <w:r>
                    <w:rPr>
                      <w:color w:val="000000"/>
                      <w:sz w:val="28"/>
                      <w:szCs w:val="28"/>
                    </w:rPr>
                    <w:t>содержание автомобильных дорог и искусственных сооружений на них в сумме 99 889 271,23 рубль или 95,9% от плана – 104 113 300,00 рублей. В рамках данного мероприятия выполнены работы по летнему и зимнему содержанию улично-дорожной сети;</w:t>
                  </w:r>
                </w:p>
                <w:p w:rsidR="009F54AC" w:rsidRDefault="0059407B">
                  <w:pPr>
                    <w:ind w:firstLine="700"/>
                    <w:jc w:val="both"/>
                  </w:pPr>
                  <w:r>
                    <w:rPr>
                      <w:color w:val="000000"/>
                      <w:sz w:val="28"/>
                      <w:szCs w:val="28"/>
                    </w:rPr>
                    <w:t>- капитальный ремонт и ремонт автомобильных дорог общего пользования местного значения в сумме 102 609 472,07 рубля или 99,9 % от плана – 102 752 359,17 рублей,</w:t>
                  </w:r>
                </w:p>
                <w:p w:rsidR="009F54AC" w:rsidRDefault="0059407B">
                  <w:pPr>
                    <w:ind w:firstLine="700"/>
                    <w:jc w:val="both"/>
                  </w:pPr>
                  <w:r>
                    <w:rPr>
                      <w:color w:val="000000"/>
                      <w:sz w:val="28"/>
                      <w:szCs w:val="28"/>
                    </w:rPr>
                    <w:t>- разработка проектной, сметной документации и строительство (реконструкция) автомобильных дорог общего пользования местного значения в сумме 15 683 131,93 рубль или 67,8 % от плана – 23 134 779,17 рублей, в том числе:</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выполнение работ по обустройству тротуара по ул. Православная, 8 мкр. «Горка», протяженностью 520 м. (от ул. Святослава Федорова до лыжной базы) на сумму 15 558 131,93 рубль исполнение составило 99,9% от плановых показателей;</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shd w:val="clear" w:color="auto" w:fill="FFFFFF"/>
                          </w:rPr>
                          <w:t>оказание услуг по выполнению лабораторных испытаний строительных материалов</w:t>
                        </w:r>
                        <w:r>
                          <w:rPr>
                            <w:color w:val="000000"/>
                            <w:sz w:val="28"/>
                            <w:szCs w:val="28"/>
                          </w:rPr>
                          <w:t> на сумму 125 000,00 рублей или 100% от плана.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Исполнение по МК на выполнение работ по разработке проектной, рабочей, сметной документации на «Обустройство тротуара и велосипедной дорожки, соединяющих мкр. 1 «Центральный» и мкр. 2 «Нефтяников» с мкр. 5 «Солнечный» города Пыть-Ях" в сумме 1 705 000,00 рублей в соответствии с условиями МК предусмотрено на апрель 2025 года.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 Исполнение по МК на выполнение комплекса работ по разработке ПСД с последующим строительством I этапа дорог улиц Брусничная, Заречная, Балыкская, Загородная, Дружбы, Хрустальный проезд в мкр. № 9 "Черемушки" в сумме 5 729 888,00 рублей в соответствии с условиями МК предусмотрено на март 2025 года.</w:t>
                        </w:r>
                      </w:p>
                    </w:tc>
                  </w:tr>
                </w:tbl>
                <w:p w:rsidR="009F54AC" w:rsidRDefault="0059407B">
                  <w:pPr>
                    <w:ind w:firstLine="700"/>
                    <w:jc w:val="both"/>
                  </w:pPr>
                  <w:r>
                    <w:rPr>
                      <w:color w:val="000000"/>
                      <w:sz w:val="28"/>
                      <w:szCs w:val="28"/>
                    </w:rPr>
                    <w:t xml:space="preserve">В рамках </w:t>
                  </w:r>
                  <w:r>
                    <w:rPr>
                      <w:i/>
                      <w:iCs/>
                      <w:color w:val="000000"/>
                      <w:sz w:val="28"/>
                      <w:szCs w:val="28"/>
                    </w:rPr>
                    <w:t>подпрограммы «Безопасность дорожного движения» </w:t>
                  </w:r>
                  <w:r>
                    <w:rPr>
                      <w:color w:val="000000"/>
                      <w:sz w:val="28"/>
                      <w:szCs w:val="28"/>
                    </w:rPr>
                    <w:t>на техническое обслуживание системы фотовидеофиксации, а также на поставку технических средств автоматической фотовидеофиксации для обеспечения контроля дорожного движения израсходовано 10 718 909,00 рублей или 52,9 % от плана в сумме 20 258 200,00 рублей.</w:t>
                  </w:r>
                </w:p>
                <w:p w:rsidR="009F54AC" w:rsidRDefault="0059407B">
                  <w:pPr>
                    <w:ind w:firstLine="700"/>
                    <w:jc w:val="both"/>
                  </w:pPr>
                  <w:r>
                    <w:rPr>
                      <w:color w:val="000000"/>
                      <w:sz w:val="28"/>
                      <w:szCs w:val="28"/>
                    </w:rPr>
                    <w:t>При реализации муниципальной программы достигнуты следующие результаты:</w:t>
                  </w:r>
                </w:p>
                <w:p w:rsidR="009F54AC" w:rsidRDefault="0059407B">
                  <w:pPr>
                    <w:ind w:firstLine="700"/>
                    <w:jc w:val="both"/>
                  </w:pPr>
                  <w:r>
                    <w:rPr>
                      <w:color w:val="000000"/>
                      <w:sz w:val="28"/>
                      <w:szCs w:val="28"/>
                    </w:rPr>
                    <w:t xml:space="preserve">- выполнены работы по ремонту и замене асфальтобетонного покрытия автомобильных дорог ул. Николая Самардакова, ул. Белых ночей, ул. Тюменский </w:t>
                  </w:r>
                  <w:r>
                    <w:rPr>
                      <w:color w:val="000000"/>
                      <w:sz w:val="28"/>
                      <w:szCs w:val="28"/>
                    </w:rPr>
                    <w:lastRenderedPageBreak/>
                    <w:t>тракт, ул. Дорожная, ул. Тепловский тракт, ул. Св. Федорова, ул. Православная, общей протяженностью 5,82 км;</w:t>
                  </w:r>
                </w:p>
                <w:p w:rsidR="009F54AC" w:rsidRDefault="0059407B">
                  <w:pPr>
                    <w:ind w:firstLine="700"/>
                    <w:jc w:val="both"/>
                  </w:pPr>
                  <w:r>
                    <w:rPr>
                      <w:color w:val="000000"/>
                      <w:sz w:val="28"/>
                      <w:szCs w:val="28"/>
                    </w:rPr>
                    <w:t>- проведено обустройство пешеходного тротуара с велодорожкой, освещением, установкой МАФ и ограждения по ул. Православная протяженностью 0,52 км;</w:t>
                  </w:r>
                </w:p>
                <w:p w:rsidR="009F54AC" w:rsidRDefault="0059407B">
                  <w:pPr>
                    <w:ind w:firstLine="700"/>
                    <w:jc w:val="both"/>
                  </w:pPr>
                  <w:r>
                    <w:rPr>
                      <w:color w:val="000000"/>
                      <w:sz w:val="28"/>
                      <w:szCs w:val="28"/>
                    </w:rPr>
                    <w:t>- проведено обследование и оценка технического состояния путепровода через железнодорожные пути и технического состояния моста через реку Большой Балык;</w:t>
                  </w:r>
                </w:p>
                <w:p w:rsidR="009F54AC" w:rsidRDefault="0059407B">
                  <w:pPr>
                    <w:ind w:firstLine="700"/>
                    <w:jc w:val="both"/>
                  </w:pPr>
                  <w:r>
                    <w:rPr>
                      <w:color w:val="000000"/>
                      <w:sz w:val="28"/>
                      <w:szCs w:val="28"/>
                    </w:rPr>
                    <w:t>- выполнены работы по обустройству системы водоотведения с территории автомобильной дороги мкр. 3 Кедровый, ул. Сергея Есенина с примыканием к частному коммерческому сооружению «Мандарин»;</w:t>
                  </w:r>
                </w:p>
                <w:p w:rsidR="009F54AC" w:rsidRDefault="0059407B">
                  <w:pPr>
                    <w:ind w:firstLine="700"/>
                    <w:jc w:val="both"/>
                  </w:pPr>
                  <w:r>
                    <w:rPr>
                      <w:color w:val="000000"/>
                      <w:sz w:val="28"/>
                      <w:szCs w:val="28"/>
                    </w:rPr>
                    <w:t>- установка дорожного ограждения (барьерного типа) на участке автомобильной дороги по ул. Солнечной;</w:t>
                  </w:r>
                </w:p>
                <w:p w:rsidR="009F54AC" w:rsidRDefault="0059407B">
                  <w:pPr>
                    <w:ind w:firstLine="700"/>
                    <w:jc w:val="both"/>
                  </w:pPr>
                  <w:r>
                    <w:rPr>
                      <w:color w:val="000000"/>
                      <w:sz w:val="28"/>
                      <w:szCs w:val="28"/>
                    </w:rPr>
                    <w:t>- для обеспечения функционирования и развития систем видеонаблюдения в сфере безопасности дорожного движения приобретено и установлено 5 фоторадарных комплексов:</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по ул. Магистральная в районе магазина 1000 мелочей;</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 по ул. Магистральная на пересечении ул. Солнечная, </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по ул. Магистральная на пересечении с ул. Р. Кузоваткина;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на въезд в г. Пыть-Ях со стороны 7 микрорайон «Газовиков»; </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на въезд в г. Пыть-Ях со стороны МАУ МСДЦ «Жемчужина».</w:t>
                        </w:r>
                      </w:p>
                    </w:tc>
                  </w:tr>
                </w:tbl>
                <w:p w:rsidR="009F54AC" w:rsidRDefault="0059407B">
                  <w:pPr>
                    <w:ind w:firstLine="700"/>
                    <w:jc w:val="both"/>
                  </w:pPr>
                  <w:r>
                    <w:rPr>
                      <w:b/>
                      <w:bCs/>
                      <w:color w:val="000000"/>
                      <w:sz w:val="28"/>
                      <w:szCs w:val="28"/>
                    </w:rPr>
                    <w:t>7. Муниципальная программа «Управление муниципальным имуществом города Пыть-Яха»</w:t>
                  </w:r>
                </w:p>
                <w:p w:rsidR="009F54AC" w:rsidRDefault="0059407B">
                  <w:pPr>
                    <w:ind w:firstLine="700"/>
                    <w:jc w:val="both"/>
                  </w:pPr>
                  <w:r>
                    <w:rPr>
                      <w:color w:val="000000"/>
                      <w:sz w:val="28"/>
                      <w:szCs w:val="28"/>
                    </w:rPr>
                    <w:t>По разделу 04 00 в рамках муниципальной программы произведены расходы на реализацию мероприятий по землеустройству и землепользованию в сумме 369 829,00 рублей или 100 % от плановых назначений – 369 829,00 рублей и направлены на выполнение кадастровых работ и оценку рыночной стоимости прав аренды земельных участков. Расходы произведены в соответствии с условиями заключенных договоров за фактически выполненные работы (услуги, поставки). </w:t>
                  </w:r>
                </w:p>
                <w:p w:rsidR="009F54AC" w:rsidRDefault="0059407B">
                  <w:pPr>
                    <w:ind w:firstLine="700"/>
                    <w:jc w:val="both"/>
                  </w:pPr>
                  <w:r>
                    <w:rPr>
                      <w:color w:val="000000"/>
                      <w:sz w:val="28"/>
                      <w:szCs w:val="28"/>
                    </w:rPr>
                    <w:t>При реализации муниципальной программы достигнуты следующие результаты: </w:t>
                  </w:r>
                </w:p>
                <w:p w:rsidR="009F54AC" w:rsidRDefault="0059407B">
                  <w:pPr>
                    <w:ind w:firstLine="700"/>
                    <w:jc w:val="both"/>
                  </w:pPr>
                  <w:r>
                    <w:rPr>
                      <w:color w:val="000000"/>
                      <w:sz w:val="28"/>
                      <w:szCs w:val="28"/>
                    </w:rPr>
                    <w:t>-увеличение количества сформированных земельных участков (ед.) – 8 или 160% (план - 5).</w:t>
                  </w:r>
                </w:p>
                <w:p w:rsidR="009F54AC" w:rsidRDefault="0059407B">
                  <w:pPr>
                    <w:ind w:firstLine="700"/>
                    <w:jc w:val="both"/>
                  </w:pPr>
                  <w:r>
                    <w:rPr>
                      <w:b/>
                      <w:bCs/>
                      <w:color w:val="000000"/>
                      <w:sz w:val="28"/>
                      <w:szCs w:val="28"/>
                    </w:rPr>
                    <w:t>8. Муниципальная программа «Развитие муниципальной службы в городе Пыть-Яхе»</w:t>
                  </w:r>
                </w:p>
                <w:p w:rsidR="009F54AC" w:rsidRDefault="0059407B">
                  <w:pPr>
                    <w:ind w:firstLine="700"/>
                    <w:jc w:val="both"/>
                  </w:pPr>
                  <w:r>
                    <w:rPr>
                      <w:color w:val="000000"/>
                      <w:sz w:val="28"/>
                      <w:szCs w:val="28"/>
                    </w:rPr>
                    <w:t>Расходы произведены в сумме 54 991 904,92 рублей или 99,9% от плановых назначений – 55 055 629,14 рублей. Расходы направлены на содержание работников структурных подразделений администрации города Пыть-Яха: управление по экономике, отдел по труду и социальным вопросам, управление архитектуры и градостроительства.</w:t>
                  </w:r>
                </w:p>
                <w:p w:rsidR="009F54AC" w:rsidRDefault="0059407B">
                  <w:pPr>
                    <w:ind w:firstLine="700"/>
                    <w:jc w:val="both"/>
                  </w:pPr>
                  <w:r>
                    <w:rPr>
                      <w:b/>
                      <w:bCs/>
                      <w:color w:val="000000"/>
                      <w:sz w:val="28"/>
                      <w:szCs w:val="28"/>
                    </w:rPr>
                    <w:t>9. Муниципальная программа «Устойчивое развитие коренных малочисленных народов Севера в городе Пыть-Яхе»</w:t>
                  </w:r>
                </w:p>
                <w:p w:rsidR="009F54AC" w:rsidRDefault="0059407B">
                  <w:pPr>
                    <w:ind w:firstLine="700"/>
                    <w:jc w:val="both"/>
                  </w:pPr>
                  <w:r>
                    <w:rPr>
                      <w:color w:val="000000"/>
                      <w:sz w:val="28"/>
                      <w:szCs w:val="28"/>
                    </w:rPr>
                    <w:t>Расходы составили 500 000,00 рублей или 100% плановых назначений и направлены на выплату гранта (реализации проекта: Event-мероприятия в рамках событийного туризма «Рахэм Авэс» приняло участие 107 человек). </w:t>
                  </w:r>
                </w:p>
                <w:p w:rsidR="009F54AC" w:rsidRDefault="0059407B">
                  <w:pPr>
                    <w:ind w:firstLine="700"/>
                    <w:jc w:val="both"/>
                  </w:pPr>
                  <w:r>
                    <w:rPr>
                      <w:color w:val="000000"/>
                      <w:sz w:val="28"/>
                      <w:szCs w:val="28"/>
                    </w:rPr>
                    <w:lastRenderedPageBreak/>
                    <w:t xml:space="preserve">В рамках </w:t>
                  </w:r>
                  <w:r>
                    <w:rPr>
                      <w:b/>
                      <w:bCs/>
                      <w:color w:val="000000"/>
                      <w:sz w:val="28"/>
                      <w:szCs w:val="28"/>
                    </w:rPr>
                    <w:t>непрограммных видов деятельности</w:t>
                  </w:r>
                  <w:r>
                    <w:rPr>
                      <w:color w:val="000000"/>
                      <w:sz w:val="28"/>
                      <w:szCs w:val="28"/>
                    </w:rPr>
                    <w:t xml:space="preserve"> осуществлялись расходы на оказание информационных услуг по сопровождению и обновлению справочно-правовой системы в МКУ Дума города Пыть-Яха и Счётно-контрольная палата города Пыть-Яха в сумме 762 881,06 рубль при плане 762 912,06 рублей или 100% к плану.</w:t>
                  </w:r>
                </w:p>
                <w:p w:rsidR="009F54AC" w:rsidRDefault="0059407B">
                  <w:pPr>
                    <w:ind w:firstLine="700"/>
                    <w:jc w:val="both"/>
                  </w:pPr>
                  <w:r>
                    <w:rPr>
                      <w:b/>
                      <w:bCs/>
                      <w:color w:val="000000"/>
                      <w:sz w:val="28"/>
                      <w:szCs w:val="28"/>
                    </w:rPr>
                    <w:t>Раздел 0500 «Жилищно-коммунальное хозяйство»</w:t>
                  </w:r>
                </w:p>
                <w:p w:rsidR="009F54AC" w:rsidRDefault="0059407B">
                  <w:pPr>
                    <w:ind w:firstLine="700"/>
                    <w:jc w:val="both"/>
                  </w:pPr>
                  <w:r>
                    <w:rPr>
                      <w:b/>
                      <w:bCs/>
                      <w:color w:val="000000"/>
                      <w:sz w:val="28"/>
                      <w:szCs w:val="28"/>
                    </w:rPr>
                    <w:t>Сети, штаты, контингент.</w:t>
                  </w:r>
                </w:p>
                <w:p w:rsidR="009F54AC" w:rsidRDefault="0059407B">
                  <w:pPr>
                    <w:ind w:firstLine="700"/>
                    <w:jc w:val="both"/>
                  </w:pPr>
                  <w:r>
                    <w:rPr>
                      <w:color w:val="000000"/>
                      <w:sz w:val="28"/>
                      <w:szCs w:val="28"/>
                    </w:rPr>
                    <w:t>На конец 2024 года по данному разделу содержатся структурные подразделения МКУ «Администрация города Пыть-Ях»: управление по жилищным вопросам, управление ЖКК, транспорту и дорогам.</w:t>
                  </w:r>
                </w:p>
                <w:p w:rsidR="009F54AC" w:rsidRDefault="0059407B">
                  <w:pPr>
                    <w:ind w:firstLine="700"/>
                    <w:jc w:val="both"/>
                  </w:pPr>
                  <w:r>
                    <w:rPr>
                      <w:color w:val="000000"/>
                      <w:sz w:val="28"/>
                      <w:szCs w:val="28"/>
                    </w:rPr>
                    <w:t>Всего штатная численность по разделу 05 00 «Жилищно-коммунальное хозяйство» на конец отчётного периода составила 22 штатных единиц, фактически занято – 19 единиц, среднесписочная численность составила 17 единиц, в том числе:</w:t>
                  </w:r>
                </w:p>
                <w:p w:rsidR="009F54AC" w:rsidRDefault="0059407B">
                  <w:pPr>
                    <w:ind w:firstLine="700"/>
                    <w:jc w:val="both"/>
                  </w:pPr>
                  <w:r>
                    <w:rPr>
                      <w:color w:val="000000"/>
                      <w:sz w:val="28"/>
                      <w:szCs w:val="28"/>
                    </w:rPr>
                    <w:t>- управление по жилищным вопросам – 9 штатных единиц, по состоянию на отчетную дату все штатные единицы заняты;</w:t>
                  </w:r>
                </w:p>
                <w:p w:rsidR="009F54AC" w:rsidRDefault="0059407B">
                  <w:pPr>
                    <w:ind w:firstLine="700"/>
                    <w:jc w:val="both"/>
                  </w:pPr>
                  <w:r>
                    <w:rPr>
                      <w:color w:val="000000"/>
                      <w:sz w:val="28"/>
                      <w:szCs w:val="28"/>
                    </w:rPr>
                    <w:t>- управление ЖКК, транспорту и дорогам – 13 штатных единиц, на отчетную дату вакантны 3 шт.ед. За отчетный период произошло уменьшение на 1 шт.ед – сокращен главный специалист отдела ЖКК  (расп.от 11.06.2024 №1052-ра). </w:t>
                  </w:r>
                </w:p>
                <w:p w:rsidR="009F54AC" w:rsidRDefault="0059407B">
                  <w:pPr>
                    <w:ind w:firstLine="700"/>
                    <w:jc w:val="both"/>
                  </w:pPr>
                  <w:r>
                    <w:rPr>
                      <w:b/>
                      <w:bCs/>
                      <w:color w:val="000000"/>
                      <w:sz w:val="28"/>
                      <w:szCs w:val="28"/>
                    </w:rPr>
                    <w:t>Раcходы</w:t>
                  </w:r>
                </w:p>
                <w:p w:rsidR="009F54AC" w:rsidRDefault="0059407B">
                  <w:pPr>
                    <w:ind w:firstLine="700"/>
                    <w:jc w:val="both"/>
                  </w:pPr>
                  <w:r>
                    <w:rPr>
                      <w:color w:val="000000"/>
                      <w:sz w:val="28"/>
                      <w:szCs w:val="28"/>
                    </w:rPr>
                    <w:t>Расходы по разделу исполнены в сумме 1 097 522 803,74 рубля, в том числе за счет средств федерального бюджета – 3 856 400,00 рублей, бюджета автономного округа – 492 228 721, 66 рубль, бюджета муниципального образования – 601 437 682,08 рубля. Исполнение составляет 97,5% к уточненному плану – 1 126 076 294,12 рубля. </w:t>
                  </w:r>
                </w:p>
                <w:p w:rsidR="009F54AC" w:rsidRDefault="0059407B">
                  <w:pPr>
                    <w:ind w:firstLine="700"/>
                    <w:jc w:val="both"/>
                  </w:pPr>
                  <w:r>
                    <w:rPr>
                      <w:color w:val="000000"/>
                      <w:sz w:val="28"/>
                      <w:szCs w:val="28"/>
                    </w:rPr>
                    <w:t>Удельный вес расходов по разделу от общего объема расходов бюджета городского округа составил 20,1%.</w:t>
                  </w:r>
                </w:p>
                <w:p w:rsidR="009F54AC" w:rsidRDefault="0059407B">
                  <w:pPr>
                    <w:ind w:firstLine="700"/>
                    <w:jc w:val="both"/>
                  </w:pPr>
                  <w:r>
                    <w:rPr>
                      <w:color w:val="000000"/>
                      <w:sz w:val="28"/>
                      <w:szCs w:val="28"/>
                    </w:rPr>
                    <w:t>В отчетном периоде по данному разделу осуществлялась реализация семи муниципальных программ городского округа. </w:t>
                  </w:r>
                </w:p>
                <w:p w:rsidR="009F54AC" w:rsidRDefault="0059407B">
                  <w:pPr>
                    <w:ind w:firstLine="700"/>
                    <w:jc w:val="both"/>
                  </w:pPr>
                  <w:r>
                    <w:rPr>
                      <w:b/>
                      <w:bCs/>
                      <w:color w:val="000000"/>
                      <w:sz w:val="28"/>
                      <w:szCs w:val="28"/>
                    </w:rPr>
                    <w:t>1.</w:t>
                  </w:r>
                  <w:r>
                    <w:rPr>
                      <w:color w:val="000000"/>
                      <w:sz w:val="28"/>
                      <w:szCs w:val="28"/>
                    </w:rPr>
                    <w:t> Расходы по</w:t>
                  </w:r>
                  <w:r>
                    <w:rPr>
                      <w:b/>
                      <w:bCs/>
                      <w:color w:val="000000"/>
                      <w:sz w:val="28"/>
                      <w:szCs w:val="28"/>
                    </w:rPr>
                    <w:t> муниципальной программе «Социальное и демографическое развитие города Пыть-Яха»</w:t>
                  </w:r>
                  <w:r>
                    <w:rPr>
                      <w:color w:val="000000"/>
                      <w:sz w:val="28"/>
                      <w:szCs w:val="28"/>
                    </w:rPr>
                    <w:t xml:space="preserve"> исполнены в сумме 3 259 480,43 рублей, что составляет 100 % к уточненному плану и направлены на предоставление субсидии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8 787 человек. </w:t>
                  </w:r>
                </w:p>
                <w:p w:rsidR="009F54AC" w:rsidRDefault="0059407B">
                  <w:pPr>
                    <w:ind w:firstLine="700"/>
                    <w:jc w:val="both"/>
                  </w:pPr>
                  <w:r>
                    <w:rPr>
                      <w:b/>
                      <w:bCs/>
                      <w:color w:val="000000"/>
                      <w:sz w:val="28"/>
                      <w:szCs w:val="28"/>
                    </w:rPr>
                    <w:t>2.</w:t>
                  </w:r>
                  <w:r>
                    <w:rPr>
                      <w:color w:val="000000"/>
                      <w:sz w:val="28"/>
                      <w:szCs w:val="28"/>
                    </w:rPr>
                    <w:t> Расходы по</w:t>
                  </w:r>
                  <w:r>
                    <w:rPr>
                      <w:b/>
                      <w:bCs/>
                      <w:color w:val="000000"/>
                      <w:sz w:val="28"/>
                      <w:szCs w:val="28"/>
                    </w:rPr>
                    <w:t> муниципальной программе «Развитие жилищной сферы в городе Пыть-Яхе»</w:t>
                  </w:r>
                  <w:r>
                    <w:rPr>
                      <w:color w:val="000000"/>
                      <w:sz w:val="28"/>
                      <w:szCs w:val="28"/>
                    </w:rPr>
                    <w:t xml:space="preserve"> исполнены в сумме 63 990 933,29 рубля, что составляет 97,4% к уточненному плану – 65 690 489,35 рублей. </w:t>
                  </w:r>
                </w:p>
                <w:p w:rsidR="009F54AC" w:rsidRDefault="0059407B">
                  <w:pPr>
                    <w:ind w:firstLine="700"/>
                    <w:jc w:val="both"/>
                  </w:pPr>
                  <w:r>
                    <w:rPr>
                      <w:color w:val="000000"/>
                      <w:sz w:val="28"/>
                      <w:szCs w:val="28"/>
                    </w:rPr>
                    <w:t>В течении отчетного периода расходы осуществлялись по следующим направлениям:</w:t>
                  </w:r>
                </w:p>
                <w:p w:rsidR="009F54AC" w:rsidRDefault="0059407B">
                  <w:pPr>
                    <w:ind w:firstLine="700"/>
                    <w:jc w:val="both"/>
                  </w:pPr>
                  <w:r>
                    <w:rPr>
                      <w:color w:val="000000"/>
                      <w:sz w:val="28"/>
                      <w:szCs w:val="28"/>
                    </w:rPr>
                    <w:t xml:space="preserve">- приобретение жилья и осуществление выплат гражданам, в чьей собственности находятся жилые помещения, входящие в аварийный жилищный фонд в сумме 54 409 725,00 рублей или 99,2% от плановых назначений – 54 863 240,76 рублей. Выплачено возмещение за изымаемые жилые помещения 16 собственникам, </w:t>
                  </w:r>
                  <w:r>
                    <w:rPr>
                      <w:color w:val="000000"/>
                      <w:sz w:val="28"/>
                      <w:szCs w:val="28"/>
                    </w:rPr>
                    <w:lastRenderedPageBreak/>
                    <w:t>проживающим в жилых домах, признанных аварийными, предоставлена субсидия 2-м участникам СВО, выплачена субсидия 1 семье по определению суда;</w:t>
                  </w:r>
                </w:p>
                <w:p w:rsidR="009F54AC" w:rsidRDefault="0059407B">
                  <w:pPr>
                    <w:ind w:firstLine="700"/>
                    <w:jc w:val="both"/>
                  </w:pPr>
                  <w:r>
                    <w:rPr>
                      <w:color w:val="000000"/>
                      <w:sz w:val="28"/>
                      <w:szCs w:val="28"/>
                    </w:rPr>
                    <w:t>- демонтаж аварийного, непригодного жилищного фонда в сумме 1 589 539,98 рублей или 56,1% от плановых назначений – 2 835 553,28 рубля. Экономия сложилась в результате конкурентных процедур. Произведен снос 3 строений объемом 555м</w:t>
                  </w:r>
                  <w:r>
                    <w:rPr>
                      <w:color w:val="000000"/>
                      <w:position w:val="7"/>
                      <w:sz w:val="21"/>
                      <w:szCs w:val="21"/>
                    </w:rPr>
                    <w:t>3</w:t>
                  </w:r>
                  <w:r>
                    <w:rPr>
                      <w:color w:val="000000"/>
                      <w:sz w:val="28"/>
                      <w:szCs w:val="28"/>
                    </w:rPr>
                    <w:t>.;</w:t>
                  </w:r>
                </w:p>
                <w:p w:rsidR="009F54AC" w:rsidRDefault="0059407B">
                  <w:pPr>
                    <w:jc w:val="both"/>
                  </w:pPr>
                  <w:r>
                    <w:rPr>
                      <w:color w:val="000000"/>
                      <w:sz w:val="28"/>
                      <w:szCs w:val="28"/>
                    </w:rPr>
                    <w:t>         -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в сумме 6 797 058,80 рублей или 100% от плановых назначений. Произведен снос 3 жилых домов площадью 3 034,2 м</w:t>
                  </w:r>
                  <w:r>
                    <w:rPr>
                      <w:color w:val="000000"/>
                      <w:position w:val="7"/>
                      <w:sz w:val="21"/>
                      <w:szCs w:val="21"/>
                    </w:rPr>
                    <w:t>2</w:t>
                  </w:r>
                  <w:r>
                    <w:rPr>
                      <w:color w:val="000000"/>
                      <w:sz w:val="28"/>
                      <w:szCs w:val="28"/>
                    </w:rPr>
                    <w:t>, выполнены работы по разработке проекта организации работ по сносу жилых домов (6 ед.);</w:t>
                  </w:r>
                </w:p>
                <w:p w:rsidR="009F54AC" w:rsidRDefault="0059407B">
                  <w:pPr>
                    <w:jc w:val="both"/>
                  </w:pPr>
                  <w:r>
                    <w:rPr>
                      <w:color w:val="000000"/>
                      <w:sz w:val="28"/>
                      <w:szCs w:val="28"/>
                    </w:rPr>
                    <w:t>         -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в сумме 1 181 509,51 рубля или 100% от плановых назначений. Выполнены работы по обеспечению доступности 7 жилых помещений под потребности инвалида;</w:t>
                  </w:r>
                </w:p>
                <w:p w:rsidR="009F54AC" w:rsidRDefault="0059407B">
                  <w:pPr>
                    <w:ind w:firstLine="700"/>
                    <w:jc w:val="both"/>
                  </w:pPr>
                  <w:r>
                    <w:rPr>
                      <w:color w:val="000000"/>
                      <w:sz w:val="28"/>
                      <w:szCs w:val="28"/>
                    </w:rPr>
                    <w:t>-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13 100,00 рублей или 100% от плановых назначений.</w:t>
                  </w:r>
                </w:p>
                <w:p w:rsidR="009F54AC" w:rsidRDefault="0059407B">
                  <w:pPr>
                    <w:ind w:firstLine="700"/>
                    <w:jc w:val="both"/>
                  </w:pPr>
                  <w:r>
                    <w:rPr>
                      <w:color w:val="000000"/>
                      <w:sz w:val="28"/>
                      <w:szCs w:val="28"/>
                    </w:rPr>
                    <w:t>Расходы по</w:t>
                  </w:r>
                  <w:r>
                    <w:rPr>
                      <w:b/>
                      <w:bCs/>
                      <w:color w:val="000000"/>
                      <w:sz w:val="28"/>
                      <w:szCs w:val="28"/>
                    </w:rPr>
                    <w:t> муниципальной программе «Жилищно-коммунальный комплекс и городская среда города Пыть-Яха»</w:t>
                  </w:r>
                  <w:r>
                    <w:rPr>
                      <w:color w:val="000000"/>
                      <w:sz w:val="28"/>
                      <w:szCs w:val="28"/>
                    </w:rPr>
                    <w:t xml:space="preserve"> исполнены в сумме 761 257 209,87 рублей, что составляет 97,1% к уточненному плану – 784 371 854,10 рубля, в том числе за счет средств федерального бюджета – 3 856 400,00 рублей, бюджета автономного округа – 435 469 617,56 рублей.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9F54AC" w:rsidRDefault="0059407B">
                  <w:pPr>
                    <w:ind w:firstLine="700"/>
                    <w:jc w:val="both"/>
                  </w:pPr>
                  <w:r>
                    <w:rPr>
                      <w:color w:val="000000"/>
                      <w:sz w:val="28"/>
                      <w:szCs w:val="28"/>
                      <w:shd w:val="clear" w:color="auto" w:fill="FFFFFF"/>
                    </w:rPr>
                    <w:t>1. Обеспечение надежности</w:t>
                  </w:r>
                  <w:r>
                    <w:rPr>
                      <w:color w:val="000000"/>
                      <w:sz w:val="28"/>
                      <w:szCs w:val="28"/>
                    </w:rPr>
                    <w:t> и качества предоставления коммунальных услуг в сумме 687 040 677,15 рублей или 99,6% от плановых назначений – 689 902 536,64 рублей, в том числе:</w:t>
                  </w:r>
                </w:p>
                <w:p w:rsidR="009F54AC" w:rsidRDefault="0059407B">
                  <w:pPr>
                    <w:ind w:firstLine="700"/>
                    <w:jc w:val="both"/>
                  </w:pPr>
                  <w:r>
                    <w:rPr>
                      <w:color w:val="000000"/>
                      <w:sz w:val="28"/>
                      <w:szCs w:val="28"/>
                    </w:rPr>
                    <w:t xml:space="preserve">- проведение капитального ремонта (с заменой) газопроводов, систем теплоснабжения, водоснабжения и водоотведения для подготовки к осенне-зимнему период в сумме 126 652 582,08 рубля или 100% от плана – 126 664 441,57 рубль, в том </w:t>
                  </w:r>
                  <w:r>
                    <w:rPr>
                      <w:color w:val="000000"/>
                      <w:sz w:val="28"/>
                      <w:szCs w:val="28"/>
                    </w:rPr>
                    <w:lastRenderedPageBreak/>
                    <w:t>числе за счет средств бюджета автономного округа - 105 160 095,69 рублей. Произведен капитальный ремонт объектов: сети водоснабжения от ВОС-3 до ВР5 (Объекты: «Водовод Bр. 5а - КОС-2700», «Водовод КОС-2700 - КОС-7000», «Водовод КОС-7000 - ВОС-3») -протяженность 2,85 км; сети ТВС на участке от ТК-115 до ТК-102 г. Пыть-Ях, 3 мкр. «Кедровый», ул. Р. Кузоваткина - протяженность воды 0,661 км, тепла 1,322 км); </w:t>
                  </w:r>
                </w:p>
                <w:p w:rsidR="009F54AC" w:rsidRDefault="0059407B">
                  <w:pPr>
                    <w:ind w:firstLine="700"/>
                    <w:jc w:val="both"/>
                  </w:pPr>
                  <w:r>
                    <w:rPr>
                      <w:color w:val="000000"/>
                      <w:sz w:val="28"/>
                      <w:szCs w:val="28"/>
                    </w:rPr>
                    <w:t>-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470 309 214,5 рублей, в том числе за счет средств бюджета автономного округа - 316 061 700,00 рублей. Предоставление субсидии произведено в соответствии с порядком, утвержденным постановлением администрации города от 28.09.2021 года № 443-па. Расходы направлены на погашение задолженности за потребленные топливно-энергетические ресурсы;</w:t>
                  </w:r>
                </w:p>
                <w:p w:rsidR="009F54AC" w:rsidRDefault="0059407B">
                  <w:pPr>
                    <w:ind w:firstLine="700"/>
                    <w:jc w:val="both"/>
                  </w:pPr>
                  <w:r>
                    <w:rPr>
                      <w:color w:val="000000"/>
                      <w:sz w:val="28"/>
                      <w:szCs w:val="28"/>
                    </w:rPr>
                    <w:t>- предоставление субсидий на возмещение недополученных доходов организациям, предоставляющим услуги по теплоснабжению, водоснабжению, водоотведению на территории города Пыть-Яха в сумме 88 292 880,57 рублей. Предоставление субсидии произведено в соответствии с порядком, утвержденным постановлением администрации города от 20.11. 2024 года № 246-па. Расходы направлены на погашение налоговой задолженности МУП «УГХ» м.о. г. Пыть-Ях;</w:t>
                  </w:r>
                </w:p>
                <w:p w:rsidR="009F54AC" w:rsidRDefault="0059407B">
                  <w:pPr>
                    <w:ind w:firstLine="700"/>
                    <w:jc w:val="both"/>
                  </w:pPr>
                  <w:r>
                    <w:rPr>
                      <w:color w:val="000000"/>
                      <w:sz w:val="28"/>
                      <w:szCs w:val="28"/>
                    </w:rPr>
                    <w:t>- актуализацию схем теплоснабжения, водоснабжения, водоотведения муниципального образования город Пыть-Ях Ханты-Мансийского автономного округа –Югры с электронной моделью, в том числе с включением сценариев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 и   ее потребителям  в сумме 1 196 000,00 рублей или 100% от плановых назначений;</w:t>
                  </w:r>
                </w:p>
                <w:p w:rsidR="009F54AC" w:rsidRDefault="0059407B">
                  <w:pPr>
                    <w:ind w:firstLine="700"/>
                    <w:jc w:val="both"/>
                  </w:pPr>
                  <w:r>
                    <w:rPr>
                      <w:color w:val="000000"/>
                      <w:sz w:val="28"/>
                      <w:szCs w:val="28"/>
                    </w:rPr>
                    <w:t>- выполнение работ по разработке проектной, сметной документации на капитальный ремонт сетей теплоснабжения, водоснабжения, водоотведения в сумме 590 000,00 рублей или 17,2% от плана – 3 440 000,00 рублей. Оплата произведена в соответствии с условиями договоров за фактически выполненные работы (услуги, поставки). В соответствии со сроками выполнения работ по пяти МК, заключенным в конце 2024 года на сумму 2 850 000,00 рублей, оплата будет произведена в 2025 году.</w:t>
                  </w:r>
                </w:p>
                <w:p w:rsidR="009F54AC" w:rsidRDefault="0059407B">
                  <w:pPr>
                    <w:ind w:firstLine="700"/>
                    <w:jc w:val="both"/>
                  </w:pPr>
                  <w:r>
                    <w:rPr>
                      <w:color w:val="000000"/>
                      <w:sz w:val="28"/>
                      <w:szCs w:val="28"/>
                    </w:rPr>
                    <w:t>2. Реализацию региональной программы модернизации систем коммунальной инфраструктуры в сумме 9 047 405,69 рублей или 100% плановых назначений, в том числе за счет средств бюджета автономного округа – 8 197 500,00 рублей. Произведен капитальный ремонт объектов: сеть водоснабжения от ВК-44 до ВК-51, 5 мкр. - протяженность 0,37 км; сети ТВС на участке от ТК -120 до ТК-121, 3 мкр. «Кедровый», ул. С. Есенина - протяженность воды 0,045 км, тепла 0,09 км.</w:t>
                  </w:r>
                </w:p>
                <w:p w:rsidR="009F54AC" w:rsidRDefault="0059407B">
                  <w:pPr>
                    <w:ind w:firstLine="700"/>
                    <w:jc w:val="both"/>
                  </w:pPr>
                  <w:r>
                    <w:rPr>
                      <w:color w:val="000000"/>
                      <w:sz w:val="28"/>
                      <w:szCs w:val="28"/>
                    </w:rPr>
                    <w:lastRenderedPageBreak/>
                    <w:t>3. Реконструкцию, расширение, модернизацию, строительство коммунальных объектов в сумме 45 457 670,38 рублей или 69,3% от плановых назначений – 65 645 400,15 рублей, в том числе:</w:t>
                  </w:r>
                </w:p>
                <w:p w:rsidR="009F54AC" w:rsidRDefault="0059407B">
                  <w:pPr>
                    <w:ind w:firstLine="700"/>
                    <w:jc w:val="both"/>
                  </w:pPr>
                  <w:r>
                    <w:rPr>
                      <w:color w:val="000000"/>
                      <w:sz w:val="28"/>
                      <w:szCs w:val="28"/>
                    </w:rPr>
                    <w:t>- реконструкцию инженерно-технических средств охраны объекта: котельная «Таёжная», МУП «Управление городского хозяйства» м.о. г. Пыть-Ях в сумме 28 498 639,28 рублей или 100% от плановых назначений;</w:t>
                  </w:r>
                </w:p>
                <w:p w:rsidR="009F54AC" w:rsidRDefault="0059407B">
                  <w:pPr>
                    <w:ind w:firstLine="700"/>
                    <w:jc w:val="both"/>
                  </w:pPr>
                  <w:r>
                    <w:rPr>
                      <w:color w:val="000000"/>
                      <w:sz w:val="28"/>
                      <w:szCs w:val="28"/>
                    </w:rPr>
                    <w:t>- выполнение работ по разработке проектной, рабочей и сметной документации по объекту: «Централизованное газоснабжение индивидуальной жилой застройки, расположенной по адресу: город Пыть-Ях, микрорайон 8 Горка» в сумме 6 600 000,00 рублей или 100% от плановых назначений;</w:t>
                  </w:r>
                </w:p>
                <w:p w:rsidR="009F54AC" w:rsidRDefault="0059407B">
                  <w:pPr>
                    <w:ind w:firstLine="700"/>
                    <w:jc w:val="both"/>
                  </w:pPr>
                  <w:r>
                    <w:rPr>
                      <w:color w:val="000000"/>
                      <w:sz w:val="28"/>
                      <w:szCs w:val="28"/>
                    </w:rPr>
                    <w:t>- расходы по мировому соглашению №1 от 20.11.2024г. по делу № А75-8294/2023 в сумме 7 435 928,3 рублей или 100% от плановых назначений оплачены ООО «АтомСтройПроект» за проведения дополнительных работ на объекте «Реконструкция ВОС-3 в г. Пыть-Ях»;</w:t>
                  </w:r>
                </w:p>
                <w:p w:rsidR="009F54AC" w:rsidRDefault="0059407B">
                  <w:pPr>
                    <w:ind w:firstLine="700"/>
                    <w:jc w:val="both"/>
                  </w:pPr>
                  <w:r>
                    <w:rPr>
                      <w:color w:val="000000"/>
                      <w:sz w:val="28"/>
                      <w:szCs w:val="28"/>
                    </w:rPr>
                    <w:t>- выполнение работ по устранению замечаний на объекте "Реконструкция ВОС-3 в г. Пыть-Ях (1 этап)", установленных решением Пыть-Яхского городского суда ХМАО-Югры от 29.03.2024 № 2-93/2024 в сумме 2 923 102,8 рубля или 52,3% от плановых назначений – 5 587 877,98 рублей. Оплата произведена в соответствии с условиями договоров за фактически выполненные работы (услуги, поставки).   </w:t>
                  </w:r>
                </w:p>
                <w:p w:rsidR="009F54AC" w:rsidRDefault="0059407B">
                  <w:pPr>
                    <w:ind w:firstLine="700"/>
                    <w:jc w:val="both"/>
                  </w:pPr>
                  <w:r>
                    <w:rPr>
                      <w:color w:val="000000"/>
                      <w:sz w:val="28"/>
                      <w:szCs w:val="28"/>
                    </w:rPr>
                    <w:t>-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 г. Пыть-Ях» в сумме 7 913 937,00 рублей или 0% от плановых назначений. Оплата не произведена в связи с нарушением сроков выполнения работ подрядчиком по МК;</w:t>
                  </w:r>
                </w:p>
                <w:p w:rsidR="009F54AC" w:rsidRDefault="0059407B">
                  <w:pPr>
                    <w:ind w:firstLine="700"/>
                    <w:jc w:val="both"/>
                  </w:pPr>
                  <w:r>
                    <w:rPr>
                      <w:color w:val="000000"/>
                      <w:sz w:val="28"/>
                      <w:szCs w:val="28"/>
                    </w:rPr>
                    <w:t>- выполнение работ по разработке проектной, рабочей, сметной документации на: «Ликвидация скважин №5, №6, №7 на ВОС-1, зона (массив) Северо-Восточная промышленная, улица Первопроходцев г.Пыть-Ях»; «Ликвидация скважин №8, №9, №16, №19, №20 на ВОС-3, микрорайон 10 Мамонтово г.Пыть-Ях»; «Строительство артезианских скважин №5, №6, №7 на ВОС-1, зона (массив) Северо-Восточная промышленная, улица Первопроходцев г.Пыть-Ях»; «Строительство скважин №8, №9, №16, №19, №20 на ВОС-3, микрорайон 10 Мамонтово г.Пыть-Ях» в сумме 9 609 000,00 рублей или 0% от плановых назначений. Оплата не произведена в связи с нарушением сроков выполнения работ подрядчиком по МК.</w:t>
                  </w:r>
                </w:p>
                <w:p w:rsidR="009F54AC" w:rsidRDefault="0059407B">
                  <w:pPr>
                    <w:ind w:firstLine="700"/>
                    <w:jc w:val="both"/>
                  </w:pPr>
                  <w:r>
                    <w:rPr>
                      <w:color w:val="000000"/>
                      <w:sz w:val="28"/>
                      <w:szCs w:val="28"/>
                    </w:rPr>
                    <w:t>4.</w:t>
                  </w:r>
                  <w:r>
                    <w:rPr>
                      <w:i/>
                      <w:iCs/>
                      <w:color w:val="000000"/>
                      <w:sz w:val="28"/>
                      <w:szCs w:val="28"/>
                    </w:rPr>
                    <w:t> </w:t>
                  </w:r>
                  <w:r>
                    <w:rPr>
                      <w:color w:val="000000"/>
                      <w:sz w:val="28"/>
                      <w:szCs w:val="28"/>
                    </w:rPr>
                    <w:t>на реализацию мероприятий по формированию комфортной городской среды в сумме 19 711 456,65 рублей или 96,7% от плановых назначений – 19 776 511,62 рублей, в том числе за счет средств федерального бюджета – 3 856 400,00 рублей, бюджета автономного округа – 6 050 32,87 рубль, в том числе:</w:t>
                  </w:r>
                </w:p>
                <w:p w:rsidR="009F54AC" w:rsidRDefault="0059407B">
                  <w:pPr>
                    <w:ind w:firstLine="700"/>
                    <w:jc w:val="both"/>
                  </w:pPr>
                  <w:r>
                    <w:rPr>
                      <w:color w:val="000000"/>
                      <w:sz w:val="28"/>
                      <w:szCs w:val="28"/>
                    </w:rPr>
                    <w:t>- на благоустройство общественной территории «Аллея имени Сергея Есенина» в 3-м микрорайоне «Кедровый» г. Пыть-Ях в сумме 19 131 456,65 рублей или 100% от плановых назначений – 19 131 511 ,62 рублей;</w:t>
                  </w:r>
                </w:p>
                <w:p w:rsidR="009F54AC" w:rsidRDefault="0059407B">
                  <w:pPr>
                    <w:ind w:firstLine="700"/>
                    <w:jc w:val="both"/>
                  </w:pPr>
                  <w:r>
                    <w:rPr>
                      <w:color w:val="000000"/>
                      <w:sz w:val="28"/>
                      <w:szCs w:val="28"/>
                    </w:rPr>
                    <w:t>- выполнение инженерно-геологических работ в 1 мкр. Пыть-Ях на улице Первопроходцев в сумме 535 000,00 рублей или 100%;</w:t>
                  </w:r>
                </w:p>
                <w:p w:rsidR="009F54AC" w:rsidRDefault="0059407B">
                  <w:pPr>
                    <w:ind w:firstLine="700"/>
                    <w:jc w:val="both"/>
                  </w:pPr>
                  <w:r>
                    <w:rPr>
                      <w:color w:val="000000"/>
                      <w:sz w:val="28"/>
                      <w:szCs w:val="28"/>
                    </w:rPr>
                    <w:lastRenderedPageBreak/>
                    <w:t>- выполнение работ по изготовлению, монтажу и демонтажу баннерного полотна в сумме 45 000,00 рублей или 100% от плановых назначений.</w:t>
                  </w:r>
                </w:p>
                <w:p w:rsidR="009F54AC" w:rsidRDefault="0059407B">
                  <w:pPr>
                    <w:ind w:firstLine="700"/>
                    <w:jc w:val="both"/>
                  </w:pPr>
                  <w:r>
                    <w:rPr>
                      <w:b/>
                      <w:bCs/>
                      <w:color w:val="000000"/>
                      <w:sz w:val="28"/>
                      <w:szCs w:val="28"/>
                    </w:rPr>
                    <w:t>4.</w:t>
                  </w:r>
                  <w:r>
                    <w:rPr>
                      <w:color w:val="000000"/>
                      <w:sz w:val="28"/>
                      <w:szCs w:val="28"/>
                    </w:rPr>
                    <w:t> Расходы по</w:t>
                  </w:r>
                  <w:r>
                    <w:rPr>
                      <w:b/>
                      <w:bCs/>
                      <w:color w:val="000000"/>
                      <w:sz w:val="28"/>
                      <w:szCs w:val="28"/>
                    </w:rPr>
                    <w:t> муниципальной программе «Управление муниципальным имуществом города Пыть-Яха»</w:t>
                  </w:r>
                  <w:r>
                    <w:rPr>
                      <w:color w:val="000000"/>
                      <w:sz w:val="28"/>
                      <w:szCs w:val="28"/>
                    </w:rPr>
                    <w:t xml:space="preserve"> исполнены в сумме 45 388 807,76 рублей, что составляет 99,7% к уточненному плану – 45 544 546,71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9F54AC" w:rsidRDefault="0059407B">
                  <w:pPr>
                    <w:ind w:firstLine="700"/>
                    <w:jc w:val="both"/>
                  </w:pPr>
                  <w:r>
                    <w:rPr>
                      <w:color w:val="000000"/>
                      <w:sz w:val="28"/>
                      <w:szCs w:val="28"/>
                    </w:rPr>
                    <w:t>-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7 030 523,49 рубля или 98,5% от плановых назначений – 7 138 005,04 рублей;</w:t>
                  </w:r>
                </w:p>
                <w:p w:rsidR="009F54AC" w:rsidRDefault="0059407B">
                  <w:pPr>
                    <w:ind w:firstLine="700"/>
                    <w:jc w:val="both"/>
                  </w:pPr>
                  <w:r>
                    <w:rPr>
                      <w:color w:val="000000"/>
                      <w:sz w:val="28"/>
                      <w:szCs w:val="28"/>
                    </w:rPr>
                    <w:t>- во исполнение п.п. «в» п. 12 Перечня поручений Губернатора Ханты-Мансийского автономного округа-Югры по результатам встречи с жителями города Пыть-Яха от 23.10.2023 года приобретены илососные машины в количестве 2 единиц на сумму 32 860 733,67 рубля;</w:t>
                  </w:r>
                </w:p>
                <w:p w:rsidR="009F54AC" w:rsidRDefault="0059407B">
                  <w:pPr>
                    <w:ind w:firstLine="700"/>
                    <w:jc w:val="both"/>
                  </w:pPr>
                  <w:r>
                    <w:rPr>
                      <w:color w:val="000000"/>
                      <w:sz w:val="28"/>
                      <w:szCs w:val="28"/>
                    </w:rPr>
                    <w:t>- расходы на поставку нефтепродуктов составили 3 987 550,60 рублей или 98,8% от плановых назначений- 4 035 808,00 рублей;</w:t>
                  </w:r>
                </w:p>
                <w:p w:rsidR="009F54AC" w:rsidRDefault="0059407B">
                  <w:pPr>
                    <w:ind w:firstLine="700"/>
                    <w:jc w:val="both"/>
                  </w:pPr>
                  <w:r>
                    <w:rPr>
                      <w:color w:val="000000"/>
                      <w:sz w:val="28"/>
                      <w:szCs w:val="28"/>
                    </w:rPr>
                    <w:t>- проведение ремонта нежилых объектов в сумме 1 510 000,00 рублей или 100% от плана.</w:t>
                  </w:r>
                </w:p>
                <w:p w:rsidR="009F54AC" w:rsidRDefault="0059407B">
                  <w:pPr>
                    <w:ind w:firstLine="540"/>
                    <w:jc w:val="both"/>
                  </w:pPr>
                  <w:r>
                    <w:rPr>
                      <w:b/>
                      <w:bCs/>
                      <w:color w:val="000000"/>
                      <w:sz w:val="28"/>
                      <w:szCs w:val="28"/>
                    </w:rPr>
                    <w:t>5.</w:t>
                  </w:r>
                  <w:r>
                    <w:rPr>
                      <w:color w:val="000000"/>
                      <w:sz w:val="28"/>
                      <w:szCs w:val="28"/>
                    </w:rPr>
                    <w:t> Расходы по</w:t>
                  </w:r>
                  <w:r>
                    <w:rPr>
                      <w:b/>
                      <w:bCs/>
                      <w:color w:val="000000"/>
                      <w:sz w:val="28"/>
                      <w:szCs w:val="28"/>
                    </w:rPr>
                    <w:t> муниципальной программе «Развитие муниципальной службы в городе Пыть-Яхе» </w:t>
                  </w:r>
                  <w:r>
                    <w:rPr>
                      <w:color w:val="000000"/>
                      <w:sz w:val="28"/>
                      <w:szCs w:val="28"/>
                    </w:rPr>
                    <w:t>исполнены в сумме 38 844 494,90 рубля или 99,9% от плановых назначений – 38 848 959,00 рублей и направлены на содержание работников структурных подразделений МКУ «Администрация города Пыть-Ях»: управления по жилищным вопросам и управления по жилищно-коммунальному комплексу, транспорту и дорогам.</w:t>
                  </w:r>
                </w:p>
                <w:p w:rsidR="009F54AC" w:rsidRDefault="0059407B">
                  <w:pPr>
                    <w:ind w:firstLine="700"/>
                    <w:jc w:val="both"/>
                  </w:pPr>
                  <w:r>
                    <w:rPr>
                      <w:b/>
                      <w:bCs/>
                      <w:color w:val="000000"/>
                      <w:sz w:val="28"/>
                      <w:szCs w:val="28"/>
                    </w:rPr>
                    <w:t>6.</w:t>
                  </w:r>
                  <w:r>
                    <w:rPr>
                      <w:color w:val="000000"/>
                      <w:sz w:val="28"/>
                      <w:szCs w:val="28"/>
                    </w:rPr>
                    <w:t> Расходы по</w:t>
                  </w:r>
                  <w:r>
                    <w:rPr>
                      <w:b/>
                      <w:bCs/>
                      <w:color w:val="000000"/>
                      <w:sz w:val="28"/>
                      <w:szCs w:val="28"/>
                    </w:rPr>
                    <w:t> муниципальной программе «Содержание городских территорий, озеленение и благоустройство в городе Пыть-Яхе»</w:t>
                  </w:r>
                  <w:r>
                    <w:rPr>
                      <w:color w:val="000000"/>
                      <w:sz w:val="28"/>
                      <w:szCs w:val="28"/>
                    </w:rPr>
                    <w:t xml:space="preserve"> исполнены в сумме 184 781 877,49 рублей, что составляет 98,1% к уточненному плану – 188 360 964,53 рубля. </w:t>
                  </w:r>
                </w:p>
                <w:p w:rsidR="009F54AC" w:rsidRDefault="0059407B">
                  <w:pPr>
                    <w:ind w:firstLine="700"/>
                    <w:jc w:val="both"/>
                  </w:pPr>
                  <w:r>
                    <w:rPr>
                      <w:color w:val="000000"/>
                      <w:sz w:val="28"/>
                      <w:szCs w:val="28"/>
                    </w:rPr>
                    <w:t>Расходы направлены на:</w:t>
                  </w:r>
                </w:p>
                <w:p w:rsidR="009F54AC" w:rsidRDefault="0059407B">
                  <w:pPr>
                    <w:ind w:firstLine="700"/>
                    <w:jc w:val="both"/>
                  </w:pPr>
                  <w:r>
                    <w:rPr>
                      <w:color w:val="000000"/>
                      <w:sz w:val="28"/>
                      <w:szCs w:val="28"/>
                    </w:rPr>
                    <w:t> - предоставление субсидий организациям в соответствии с концессионными соглашениями между муниципальным образованием городом Пыть-Ях Ханты-Мансийского автономного округа – Югры и Акционерным обществом «Югорская территориальная энергетическая компания - Региональные сети» в сумме 34 210 459,51 рублей или 99,9% от плановых назначений – 34 252 196,04 рублей, направлены на операционные платежи в соответствии с финансовой моделью концессионного соглашения по уличному освещению города, на инвестиционные платежи и на возмещение затрат на уплату процентов;</w:t>
                  </w:r>
                </w:p>
                <w:p w:rsidR="009F54AC" w:rsidRDefault="0059407B">
                  <w:pPr>
                    <w:ind w:firstLine="700"/>
                    <w:jc w:val="both"/>
                  </w:pPr>
                  <w:r>
                    <w:rPr>
                      <w:color w:val="000000"/>
                      <w:sz w:val="28"/>
                      <w:szCs w:val="28"/>
                    </w:rPr>
                    <w:t> - организацию озеленения и благоустройства территорий города, в сумме 5 116 630,17 рублей или 91,3% от плана – 5 601 506,57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w:t>
                  </w:r>
                </w:p>
                <w:p w:rsidR="009F54AC" w:rsidRDefault="0059407B">
                  <w:pPr>
                    <w:ind w:firstLine="700"/>
                    <w:jc w:val="both"/>
                  </w:pPr>
                  <w:r>
                    <w:rPr>
                      <w:color w:val="000000"/>
                      <w:sz w:val="28"/>
                      <w:szCs w:val="28"/>
                    </w:rPr>
                    <w:lastRenderedPageBreak/>
                    <w:t>- в рамках комплекса процессных мероприятий «Зимнее и летнее содержание городских территорий» направлены расходы в сумме 73 829 077,02 рублей или 99,4% от плановых назначений – 74 279 103,76 рубля;</w:t>
                  </w:r>
                </w:p>
                <w:p w:rsidR="009F54AC" w:rsidRDefault="0059407B">
                  <w:pPr>
                    <w:ind w:firstLine="700"/>
                    <w:jc w:val="both"/>
                  </w:pPr>
                  <w:r>
                    <w:rPr>
                      <w:color w:val="000000"/>
                      <w:sz w:val="28"/>
                      <w:szCs w:val="28"/>
                    </w:rPr>
                    <w:t>- в рамках комплекса процессных мероприятий «Обеспечение комплексного содержания и ремонта объектов благоустройства (детские игровые и спортивные площадки, городской фонтан)» расходы составили 37 359 025,71 рублей или 97,14% от плановых назначений и направлены на:</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предоставление субсидий организациям в сумме 911 078,81 рублей или 100% от плана;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обустройство площадки для выгула собак, на проектирование и строительство тротуара с освещением вдоль Прогимназии "Созвездие" в парке "Сказка", на содержание, текущий ремонт, демонтаж МАФ, приобретение и монтаж малых архитектурных форм (детские игровые (спортивные) комплексы, урны, скамейки) в сумме 36 447 946,90 рублей (или 97,1% от плана)</w:t>
                        </w:r>
                      </w:p>
                    </w:tc>
                  </w:tr>
                </w:tbl>
                <w:p w:rsidR="009F54AC" w:rsidRDefault="0059407B">
                  <w:pPr>
                    <w:ind w:firstLine="700"/>
                    <w:jc w:val="both"/>
                  </w:pPr>
                  <w:r>
                    <w:rPr>
                      <w:color w:val="000000"/>
                      <w:sz w:val="28"/>
                      <w:szCs w:val="28"/>
                    </w:rPr>
                    <w:t>- в рамках комплекса процессных мероприятий «Содержание мест захоронения» направлены расходы на финансовое обеспечение выполнения муниципального задания и иных целей муниципального автономного учреждения «Специализированная служба по вопросам похоронного дела» в сумме 10 760 070,07 рублей, что составляет 91,2% к уточненному плану – 11 801 100,00 рублей, а также на разработку проектной, рабочей сметной документации на устройство колумбария на территории кладбища в сумме 480 000,00 рублей или 100%  от плана;</w:t>
                  </w:r>
                </w:p>
                <w:p w:rsidR="009F54AC" w:rsidRDefault="0059407B">
                  <w:pPr>
                    <w:ind w:firstLine="700"/>
                    <w:jc w:val="both"/>
                  </w:pPr>
                  <w:r>
                    <w:rPr>
                      <w:color w:val="000000"/>
                      <w:sz w:val="28"/>
                      <w:szCs w:val="28"/>
                    </w:rPr>
                    <w:t>- в рамках комплекса процессных мероприятий «Праздничное оформление городских территорий» направлены средства на поставку (изготовление), монтаж, демонтаж флагов, баннеров, растяжек, консолей, оформление флаговых композиций, на обустройство и содержание мест массового отдыха, подключение электроаппаратуры и обслуживание в сумме 23 026 615,01 рублей или 98,0% от плановых назначений – 23 487 005,16 рублей.</w:t>
                  </w:r>
                </w:p>
                <w:p w:rsidR="009F54AC" w:rsidRDefault="0059407B">
                  <w:pPr>
                    <w:ind w:firstLine="700"/>
                    <w:jc w:val="both"/>
                  </w:pPr>
                  <w:r>
                    <w:rPr>
                      <w:color w:val="000000"/>
                      <w:sz w:val="28"/>
                      <w:szCs w:val="28"/>
                    </w:rPr>
                    <w:t>Выделенный объем средств на реализацию программных мероприятий позволил достичь следующих результатов: </w:t>
                  </w:r>
                </w:p>
                <w:p w:rsidR="009F54AC" w:rsidRDefault="0059407B">
                  <w:pPr>
                    <w:ind w:firstLine="700"/>
                    <w:jc w:val="both"/>
                  </w:pPr>
                  <w:r>
                    <w:rPr>
                      <w:color w:val="000000"/>
                      <w:sz w:val="28"/>
                      <w:szCs w:val="28"/>
                    </w:rPr>
                    <w:t>-   освещение улиц, проездов, парков, скверов, дворовых территорий – 75 935 км;</w:t>
                  </w:r>
                </w:p>
                <w:p w:rsidR="009F54AC" w:rsidRDefault="0059407B">
                  <w:pPr>
                    <w:ind w:firstLine="700"/>
                    <w:jc w:val="both"/>
                  </w:pPr>
                  <w:r>
                    <w:rPr>
                      <w:color w:val="000000"/>
                      <w:sz w:val="28"/>
                      <w:szCs w:val="28"/>
                    </w:rPr>
                    <w:t>- произведено оформление цветочных композиций, содержание газонов – 2 291,9 кв. м.;</w:t>
                  </w:r>
                </w:p>
                <w:p w:rsidR="009F54AC" w:rsidRDefault="0059407B">
                  <w:pPr>
                    <w:ind w:firstLine="700"/>
                    <w:jc w:val="both"/>
                  </w:pPr>
                  <w:r>
                    <w:rPr>
                      <w:color w:val="000000"/>
                      <w:sz w:val="28"/>
                      <w:szCs w:val="28"/>
                    </w:rPr>
                    <w:t>- подготовка мест для массового отдыха и проведения праздничных мероприятий – общее количество городских пространств, охваченных внешним оформлением - 8 городских мест;</w:t>
                  </w:r>
                </w:p>
                <w:p w:rsidR="009F54AC" w:rsidRDefault="0059407B">
                  <w:pPr>
                    <w:ind w:firstLine="700"/>
                    <w:jc w:val="both"/>
                  </w:pPr>
                  <w:r>
                    <w:rPr>
                      <w:color w:val="000000"/>
                      <w:sz w:val="28"/>
                      <w:szCs w:val="28"/>
                    </w:rPr>
                    <w:t>- зимнее и летнее содержание объектов общественного назначения (общая площадь, убираемая механизированным и ручным способом) – 652 173,9 кв. м.;</w:t>
                  </w:r>
                </w:p>
                <w:p w:rsidR="009F54AC" w:rsidRDefault="0059407B">
                  <w:pPr>
                    <w:ind w:firstLine="700"/>
                    <w:jc w:val="both"/>
                  </w:pPr>
                  <w:r>
                    <w:rPr>
                      <w:color w:val="000000"/>
                      <w:sz w:val="28"/>
                      <w:szCs w:val="28"/>
                    </w:rPr>
                    <w:t>- содержание городского кладбища 40 438 кв. м.;</w:t>
                  </w:r>
                </w:p>
                <w:p w:rsidR="009F54AC" w:rsidRDefault="0059407B">
                  <w:pPr>
                    <w:ind w:firstLine="700"/>
                    <w:jc w:val="both"/>
                  </w:pPr>
                  <w:r>
                    <w:rPr>
                      <w:color w:val="000000"/>
                      <w:sz w:val="28"/>
                      <w:szCs w:val="28"/>
                    </w:rPr>
                    <w:t>- содержание, текущий ремонт, приобретение и монтаж малых архитектурных форм - 74 ед.</w:t>
                  </w:r>
                </w:p>
                <w:p w:rsidR="009F54AC" w:rsidRDefault="0059407B">
                  <w:pPr>
                    <w:ind w:firstLine="700"/>
                    <w:jc w:val="both"/>
                  </w:pPr>
                  <w:r>
                    <w:rPr>
                      <w:b/>
                      <w:bCs/>
                      <w:color w:val="000000"/>
                      <w:sz w:val="28"/>
                      <w:szCs w:val="28"/>
                    </w:rPr>
                    <w:t>Раздел 0600 «Охрана окружающей среды»</w:t>
                  </w:r>
                </w:p>
                <w:p w:rsidR="009F54AC" w:rsidRDefault="0059407B">
                  <w:pPr>
                    <w:ind w:firstLine="700"/>
                    <w:jc w:val="both"/>
                  </w:pPr>
                  <w:r>
                    <w:rPr>
                      <w:color w:val="000000"/>
                      <w:sz w:val="28"/>
                      <w:szCs w:val="28"/>
                    </w:rPr>
                    <w:t xml:space="preserve">За 2024 год расходы по разделу осуществлялись в рамках </w:t>
                  </w:r>
                  <w:r>
                    <w:rPr>
                      <w:b/>
                      <w:bCs/>
                      <w:color w:val="000000"/>
                      <w:sz w:val="28"/>
                      <w:szCs w:val="28"/>
                    </w:rPr>
                    <w:t>муниципальной программы «Экологическая безопасность города Пыть-Яха»</w:t>
                  </w:r>
                  <w:r>
                    <w:rPr>
                      <w:color w:val="000000"/>
                      <w:sz w:val="28"/>
                      <w:szCs w:val="28"/>
                    </w:rPr>
                    <w:t>.</w:t>
                  </w:r>
                </w:p>
                <w:p w:rsidR="009F54AC" w:rsidRDefault="0059407B">
                  <w:pPr>
                    <w:ind w:firstLine="700"/>
                    <w:jc w:val="both"/>
                  </w:pPr>
                  <w:r>
                    <w:rPr>
                      <w:color w:val="000000"/>
                      <w:sz w:val="28"/>
                      <w:szCs w:val="28"/>
                    </w:rPr>
                    <w:lastRenderedPageBreak/>
                    <w:t>В целом расходы исполнены в сумме 16 908 868,47 рублей или 96,0% от плановых назначений, в том числе в разрезе подразделам:</w:t>
                  </w:r>
                </w:p>
                <w:p w:rsidR="009F54AC" w:rsidRDefault="0059407B">
                  <w:pPr>
                    <w:ind w:firstLine="700"/>
                    <w:jc w:val="both"/>
                  </w:pPr>
                  <w:r>
                    <w:rPr>
                      <w:color w:val="000000"/>
                      <w:sz w:val="28"/>
                      <w:szCs w:val="28"/>
                    </w:rPr>
                    <w:t>-подраздел 0603 «Охрана объектов растительного и животного мира и среды их обитания»:</w:t>
                  </w:r>
                </w:p>
                <w:p w:rsidR="009F54AC" w:rsidRDefault="0059407B">
                  <w:pPr>
                    <w:ind w:firstLine="700"/>
                    <w:jc w:val="both"/>
                  </w:pPr>
                  <w:r>
                    <w:rPr>
                      <w:color w:val="000000"/>
                      <w:sz w:val="28"/>
                      <w:szCs w:val="28"/>
                    </w:rPr>
                    <w:t> - расходы направлены на организацию и проведение мероприятий в рамках международной экологической акции «Спасти и сохранить» в сумме 181 080,40 рублей или 45,6% от плановых назначений – 397 000,00 рублей.</w:t>
                  </w:r>
                </w:p>
                <w:p w:rsidR="009F54AC" w:rsidRDefault="0059407B">
                  <w:pPr>
                    <w:ind w:firstLine="700"/>
                    <w:jc w:val="both"/>
                  </w:pPr>
                  <w:r>
                    <w:rPr>
                      <w:color w:val="000000"/>
                      <w:sz w:val="28"/>
                      <w:szCs w:val="28"/>
                    </w:rPr>
                    <w:t>-подраздел 0605 «Другие вопросы в области охраны окружающей среды»:</w:t>
                  </w:r>
                </w:p>
                <w:p w:rsidR="009F54AC" w:rsidRDefault="0059407B">
                  <w:pPr>
                    <w:ind w:firstLine="700"/>
                    <w:jc w:val="both"/>
                  </w:pPr>
                  <w:r>
                    <w:rPr>
                      <w:color w:val="000000"/>
                      <w:sz w:val="28"/>
                      <w:szCs w:val="28"/>
                    </w:rPr>
                    <w:t> - по мероприятию «Обеспечение регулирования деятельности по обращению с отходами производства и потребления» расходы составили 118 700,00 рублей, или 100% уточненного плана, в части администрирования переданного полномочия;</w:t>
                  </w:r>
                </w:p>
                <w:p w:rsidR="009F54AC" w:rsidRDefault="0059407B">
                  <w:pPr>
                    <w:ind w:firstLine="700"/>
                    <w:jc w:val="both"/>
                  </w:pPr>
                  <w:r>
                    <w:rPr>
                      <w:color w:val="000000"/>
                      <w:sz w:val="28"/>
                      <w:szCs w:val="28"/>
                    </w:rPr>
                    <w:t>- в рамках мероприятия «Разработка и реализация мероприятий по ликвидации несанкционированных свалок» произведены расходы на сумму 6 224 126,49 рублей, или 100% от утвержденного плана, в части проведения работ по ликвидации 6-ти несанкционированных свалок;</w:t>
                  </w:r>
                </w:p>
                <w:p w:rsidR="009F54AC" w:rsidRDefault="0059407B">
                  <w:pPr>
                    <w:ind w:firstLine="700"/>
                    <w:jc w:val="both"/>
                  </w:pPr>
                  <w:r>
                    <w:rPr>
                      <w:color w:val="000000"/>
                      <w:sz w:val="28"/>
                      <w:szCs w:val="28"/>
                    </w:rPr>
                    <w:t>- расходы направлены на содержание контейнерных площадок, находящихся в муниципальной собственности, составили 10 384 961,58 рубль или 95,5% от плана. В рамках данного мероприятия выполнены работы по содержанию площадок, а также работы по обустройству 14 контейнерных площадок в 1, 2, 8 мкр. города находящихся в муниципальной собственности.</w:t>
                  </w:r>
                </w:p>
                <w:p w:rsidR="009F54AC" w:rsidRDefault="0059407B">
                  <w:pPr>
                    <w:ind w:firstLine="700"/>
                    <w:jc w:val="both"/>
                  </w:pPr>
                  <w:r>
                    <w:rPr>
                      <w:b/>
                      <w:bCs/>
                      <w:color w:val="000000"/>
                      <w:sz w:val="28"/>
                      <w:szCs w:val="28"/>
                    </w:rPr>
                    <w:t>Раздел 07 00 «Образование»</w:t>
                  </w:r>
                </w:p>
                <w:p w:rsidR="009F54AC" w:rsidRDefault="0059407B">
                  <w:pPr>
                    <w:ind w:firstLine="700"/>
                    <w:jc w:val="both"/>
                  </w:pPr>
                  <w:r>
                    <w:rPr>
                      <w:color w:val="000000"/>
                      <w:sz w:val="28"/>
                      <w:szCs w:val="28"/>
                    </w:rPr>
                    <w:t>Исполнение расходов по разделу сложилось в сумме 2 382 565 795,86 рублей, что составляет 98,4 % к плану на год – 2 421 753 527,50 рублей, в том числе за счёт средств федерального бюджета – 70 952 460,18 рублей, автономного округа – 1 685 892 416,47 рублей и местного бюджета – 625 720 919,21 рублей. </w:t>
                  </w:r>
                </w:p>
                <w:p w:rsidR="009F54AC" w:rsidRDefault="0059407B">
                  <w:pPr>
                    <w:ind w:firstLine="700"/>
                    <w:jc w:val="both"/>
                  </w:pPr>
                  <w:r>
                    <w:rPr>
                      <w:color w:val="000000"/>
                      <w:sz w:val="28"/>
                      <w:szCs w:val="28"/>
                    </w:rPr>
                    <w:t>В целом по разделу отклонение от плана обусловлено следующими причинами:</w:t>
                  </w:r>
                </w:p>
                <w:p w:rsidR="009F54AC" w:rsidRDefault="0059407B">
                  <w:pPr>
                    <w:ind w:firstLine="560"/>
                    <w:jc w:val="both"/>
                  </w:pPr>
                  <w:r>
                    <w:rPr>
                      <w:color w:val="000000"/>
                      <w:sz w:val="28"/>
                      <w:szCs w:val="28"/>
                    </w:rPr>
                    <w:t>- не исполненные средства (ООО «РН-Юганскнефтегаз»), предусмотрены на проведение капитального ремонта МДОАУ д/с «Родничок», МДОАУ ЦРР-д/с «Аленький цветочек», МБУ «Современник», средства будут освоены в 2025 году.</w:t>
                  </w:r>
                </w:p>
                <w:p w:rsidR="009F54AC" w:rsidRDefault="0059407B">
                  <w:pPr>
                    <w:jc w:val="both"/>
                  </w:pPr>
                  <w:r>
                    <w:rPr>
                      <w:color w:val="FF0000"/>
                      <w:sz w:val="28"/>
                      <w:szCs w:val="28"/>
                    </w:rPr>
                    <w:t>        </w:t>
                  </w:r>
                  <w:r>
                    <w:rPr>
                      <w:color w:val="000000"/>
                      <w:sz w:val="28"/>
                      <w:szCs w:val="28"/>
                    </w:rPr>
                    <w:t>- экономия в части расходов на обеспечение питанием обучающихся общеобразовательных учреждений, в соответствии с фактической посещаемостью детей.</w:t>
                  </w:r>
                </w:p>
                <w:p w:rsidR="009F54AC" w:rsidRDefault="0059407B">
                  <w:pPr>
                    <w:jc w:val="both"/>
                  </w:pPr>
                  <w:r>
                    <w:rPr>
                      <w:color w:val="000000"/>
                      <w:sz w:val="28"/>
                      <w:szCs w:val="28"/>
                    </w:rPr>
                    <w:t>В отчетном 2024 году по разделу 07 00 «Образование» расходы направлены на реализацию следующих муниципальных программ:</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1.</w:t>
                        </w:r>
                      </w:p>
                    </w:tc>
                    <w:tc>
                      <w:tcPr>
                        <w:tcW w:w="9834" w:type="dxa"/>
                        <w:tcMar>
                          <w:top w:w="0" w:type="dxa"/>
                          <w:left w:w="0" w:type="dxa"/>
                          <w:bottom w:w="0" w:type="dxa"/>
                          <w:right w:w="0" w:type="dxa"/>
                        </w:tcMar>
                      </w:tcPr>
                      <w:p w:rsidR="009F54AC" w:rsidRDefault="0059407B">
                        <w:pPr>
                          <w:jc w:val="both"/>
                        </w:pPr>
                        <w:r>
                          <w:rPr>
                            <w:color w:val="000000"/>
                            <w:sz w:val="28"/>
                            <w:szCs w:val="28"/>
                          </w:rPr>
                          <w:t>Муниципальная программа «Развитие образования в городе Пыть-Яхе»;</w:t>
                        </w:r>
                      </w:p>
                    </w:tc>
                  </w:tr>
                </w:tbl>
                <w:p w:rsidR="009F54AC" w:rsidRDefault="0059407B">
                  <w:pPr>
                    <w:jc w:val="both"/>
                  </w:pPr>
                  <w:r>
                    <w:rPr>
                      <w:color w:val="000000"/>
                      <w:sz w:val="28"/>
                      <w:szCs w:val="28"/>
                    </w:rPr>
                    <w:t>2.      Муниципальная программа «Культурное пространство города Пыть-Яха»;</w:t>
                  </w:r>
                </w:p>
                <w:p w:rsidR="009F54AC" w:rsidRDefault="0059407B">
                  <w:pPr>
                    <w:jc w:val="both"/>
                  </w:pPr>
                  <w:r>
                    <w:rPr>
                      <w:color w:val="000000"/>
                      <w:sz w:val="28"/>
                      <w:szCs w:val="28"/>
                    </w:rPr>
                    <w:t>3.      Муниципальная программа «Укрепление межнационального и межконфессионального согласия, профилактика экстремизма в городе Пыть-Яхе»;</w:t>
                  </w:r>
                </w:p>
                <w:p w:rsidR="009F54AC" w:rsidRDefault="0059407B">
                  <w:pPr>
                    <w:jc w:val="both"/>
                  </w:pPr>
                  <w:r>
                    <w:rPr>
                      <w:color w:val="000000"/>
                      <w:sz w:val="28"/>
                      <w:szCs w:val="28"/>
                    </w:rPr>
                    <w:t>4.     Муниципальная программа «Развитие гражданского общества в городе Пыть-Яхе»;</w:t>
                  </w:r>
                </w:p>
                <w:p w:rsidR="009F54AC" w:rsidRDefault="0059407B">
                  <w:pPr>
                    <w:jc w:val="both"/>
                  </w:pPr>
                  <w:r>
                    <w:rPr>
                      <w:color w:val="000000"/>
                      <w:sz w:val="28"/>
                      <w:szCs w:val="28"/>
                    </w:rPr>
                    <w:t>5.      Муниципальная программа «Развитие муниципальной службы в городе Пыть-Яхе».</w:t>
                  </w:r>
                </w:p>
                <w:p w:rsidR="009F54AC" w:rsidRDefault="0059407B">
                  <w:pPr>
                    <w:ind w:firstLine="560"/>
                    <w:jc w:val="both"/>
                  </w:pPr>
                  <w:r>
                    <w:rPr>
                      <w:color w:val="000000"/>
                      <w:sz w:val="28"/>
                      <w:szCs w:val="28"/>
                    </w:rPr>
                    <w:lastRenderedPageBreak/>
                    <w:t>В рамках раздела 07 00 «Образование» обеспечено сохранение достигнутых показателей по уровню оплаты труда работников муниципальных учреждений образования в целях реализации Указа Президента РФ от 7 мая 2012 года № 597 «О мероприятиях по реализации государственной социальной политики»,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от 1 июня 2012 года № 761 «О национальной стратегии действий в интересах детей на 2012-2017 годы»:</w:t>
                  </w:r>
                </w:p>
                <w:p w:rsidR="009F54AC" w:rsidRDefault="009F54AC">
                  <w:pPr>
                    <w:rPr>
                      <w:vanish/>
                    </w:rPr>
                  </w:pPr>
                </w:p>
                <w:tbl>
                  <w:tblPr>
                    <w:tblOverlap w:val="never"/>
                    <w:tblW w:w="10314" w:type="dxa"/>
                    <w:jc w:val="center"/>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691"/>
                    <w:gridCol w:w="2345"/>
                    <w:gridCol w:w="2345"/>
                    <w:gridCol w:w="1933"/>
                  </w:tblGrid>
                  <w:tr w:rsidR="009F54AC">
                    <w:trPr>
                      <w:jc w:val="center"/>
                    </w:trPr>
                    <w:tc>
                      <w:tcPr>
                        <w:tcW w:w="369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Наименование категории работников</w:t>
                        </w:r>
                      </w:p>
                    </w:tc>
                    <w:tc>
                      <w:tcPr>
                        <w:tcW w:w="23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Установленное значение на 2024 год</w:t>
                        </w:r>
                      </w:p>
                    </w:tc>
                    <w:tc>
                      <w:tcPr>
                        <w:tcW w:w="23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Исполнено за 2024 год</w:t>
                        </w:r>
                      </w:p>
                    </w:tc>
                    <w:tc>
                      <w:tcPr>
                        <w:tcW w:w="193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tcPr>
                      <w:p w:rsidR="009F54AC" w:rsidRDefault="0059407B">
                        <w:pPr>
                          <w:jc w:val="center"/>
                        </w:pPr>
                        <w:r>
                          <w:rPr>
                            <w:color w:val="000000"/>
                            <w:sz w:val="28"/>
                            <w:szCs w:val="28"/>
                          </w:rPr>
                          <w:t>% исполнения</w:t>
                        </w:r>
                      </w:p>
                    </w:tc>
                  </w:tr>
                  <w:tr w:rsidR="009F54AC">
                    <w:trPr>
                      <w:jc w:val="center"/>
                    </w:trPr>
                    <w:tc>
                      <w:tcPr>
                        <w:tcW w:w="369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дошкольное образование</w:t>
                        </w:r>
                      </w:p>
                    </w:tc>
                    <w:tc>
                      <w:tcPr>
                        <w:tcW w:w="23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92 065,4</w:t>
                        </w:r>
                      </w:p>
                    </w:tc>
                    <w:tc>
                      <w:tcPr>
                        <w:tcW w:w="23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92 065,4</w:t>
                        </w:r>
                      </w:p>
                    </w:tc>
                    <w:tc>
                      <w:tcPr>
                        <w:tcW w:w="193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100,0%</w:t>
                        </w:r>
                      </w:p>
                    </w:tc>
                  </w:tr>
                  <w:tr w:rsidR="009F54AC">
                    <w:trPr>
                      <w:jc w:val="center"/>
                    </w:trPr>
                    <w:tc>
                      <w:tcPr>
                        <w:tcW w:w="369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общее образование</w:t>
                        </w:r>
                      </w:p>
                    </w:tc>
                    <w:tc>
                      <w:tcPr>
                        <w:tcW w:w="23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104 123,5</w:t>
                        </w:r>
                      </w:p>
                    </w:tc>
                    <w:tc>
                      <w:tcPr>
                        <w:tcW w:w="23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104 123,5</w:t>
                        </w:r>
                      </w:p>
                    </w:tc>
                    <w:tc>
                      <w:tcPr>
                        <w:tcW w:w="193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100,0%</w:t>
                        </w:r>
                      </w:p>
                    </w:tc>
                  </w:tr>
                  <w:tr w:rsidR="009F54AC">
                    <w:trPr>
                      <w:jc w:val="center"/>
                    </w:trPr>
                    <w:tc>
                      <w:tcPr>
                        <w:tcW w:w="369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дополнительное образование детей</w:t>
                        </w:r>
                      </w:p>
                    </w:tc>
                    <w:tc>
                      <w:tcPr>
                        <w:tcW w:w="23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107 303,9</w:t>
                        </w:r>
                      </w:p>
                    </w:tc>
                    <w:tc>
                      <w:tcPr>
                        <w:tcW w:w="23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104 467,8</w:t>
                        </w:r>
                      </w:p>
                    </w:tc>
                    <w:tc>
                      <w:tcPr>
                        <w:tcW w:w="193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97,4%</w:t>
                        </w:r>
                      </w:p>
                    </w:tc>
                  </w:tr>
                </w:tbl>
                <w:p w:rsidR="009F54AC" w:rsidRDefault="0059407B">
                  <w:pPr>
                    <w:ind w:firstLine="560"/>
                    <w:jc w:val="both"/>
                  </w:pPr>
                  <w:r>
                    <w:rPr>
                      <w:color w:val="000000"/>
                      <w:sz w:val="28"/>
                      <w:szCs w:val="28"/>
                    </w:rPr>
                    <w:t>За 2024 год исполнение расходов в разрезе муниципальных программ характеризуется следующим:</w:t>
                  </w:r>
                </w:p>
                <w:p w:rsidR="009F54AC" w:rsidRDefault="0059407B">
                  <w:pPr>
                    <w:ind w:firstLine="560"/>
                    <w:jc w:val="both"/>
                  </w:pPr>
                  <w:r>
                    <w:rPr>
                      <w:b/>
                      <w:bCs/>
                      <w:color w:val="000000"/>
                      <w:sz w:val="28"/>
                      <w:szCs w:val="28"/>
                    </w:rPr>
                    <w:t>1. По муниципальной программе «Развитие образования в городе Пыть-Ях»</w:t>
                  </w:r>
                  <w:r>
                    <w:rPr>
                      <w:color w:val="000000"/>
                      <w:sz w:val="28"/>
                      <w:szCs w:val="28"/>
                    </w:rPr>
                    <w:t> исполнение расходов составило 2 262 166 018,14 рублей, или 98,5 % к уточненному плану на год 2 296 003 292,76 рублей, в том числе за счёт средств автономного округа – 1 685 747 216,47 рублей или 99,3 % от плана, за счет средств федерального бюджета 70 952 460,18 рублей, или 99,6 %, за счет средств местного бюджета – 505 466 341,49 рублей, или 95,9 % от утвержденного плана. </w:t>
                  </w:r>
                </w:p>
                <w:p w:rsidR="009F54AC" w:rsidRDefault="0059407B">
                  <w:pPr>
                    <w:ind w:firstLine="560"/>
                    <w:jc w:val="both"/>
                  </w:pPr>
                  <w:r>
                    <w:rPr>
                      <w:color w:val="000000"/>
                      <w:sz w:val="28"/>
                      <w:szCs w:val="28"/>
                    </w:rPr>
                    <w:t>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9F54AC" w:rsidRDefault="0059407B">
                  <w:pPr>
                    <w:ind w:firstLine="560"/>
                    <w:jc w:val="both"/>
                  </w:pPr>
                  <w:r>
                    <w:rPr>
                      <w:color w:val="000000"/>
                      <w:sz w:val="28"/>
                      <w:szCs w:val="28"/>
                    </w:rPr>
                    <w:t>- предоставление субсидий на финансовое обеспечение муниципального задания по оказанию муниципальных услуг 5 муниципальным дошкольным образовательным автономным учреждениям, 4 муниципальным бюджетным общеобразовательным учреждениям, 2 муниципальным общеобразовательным автономным учреждениям, 1 муниципальному образовательному автономному учреждению дополнительного образования детей, 1 бюджетному учреждению в области молодежной политики на общую сумму 2 099 094 804,09 рублей, или 98,7 % плановых назначений. В рамках предоставленных субсидий учреждениями произведены следующие расходы:</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 профинансировано в сумме 281 964 412,55 рублей или 96,7% от уточненного плана (средства местного бюджета).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9F54AC" w:rsidRDefault="0059407B">
                        <w:pPr>
                          <w:jc w:val="both"/>
                        </w:pPr>
                        <w:r>
                          <w:rPr>
                            <w:color w:val="000000"/>
                            <w:sz w:val="28"/>
                            <w:szCs w:val="28"/>
                          </w:rPr>
                          <w:t>На дополнительное финансовое обеспечение мероприятий по организации питания обучающихся за счет средств бюджета города израсходовано 18 162 200,73 рублей или 90,1% от плановых назначений. Выплаты направлены на обеспечение питанием обучающихся за исключением льготной категории, а также учащихся начальных классов.</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работу по подготовке и проведению единого государственного экзамена направлено 1 086 731 422,16 рублей, что составляет 99,7 % от плана, фактическое исполнение контингента за отчётный период составило 6 610 учащихся при плане 6 612 учащихся.</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На реализацию дошкольными образовательными организациями основных общеобразовательных программ дошкольного образования направлено 470 186 637,21 рублей, что составляет 99,9 % от уточненного плана, фактическое исполнение контингента за отчетный период составило   1 533 детей при уточненном плане 1 629 воспитанников. Расходы направлены на оплату труда работников дошкольных образовательных учреждений, приобретение учебных пособий, технических средств обучения, расходных материалов, игр, игрушек.</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На организацию бесплатного горячего питания обучающихся, получающих начальное общее образование в муниципальных образовательных организациях произведены расходы в сумме 31 975 849,87 рублей, или 96,4% плановых назначений, в том числе за счет средств федерального бюджета 11 617 376,83 рублей, окружного бюджета 17 426 057,84 рублей, средства местного бюджета 2 932 415,20 рублей.</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В части организации летнего отдыха детей и молодежи в лагерях с дневным пребыванием исполнены расходы в сумме 14 385 363,65 рублей, или 96,9 % от утвержденного плана, в том числе за счет средств бюджета автономного округа 6 151 162,68 рублей, или 95,0 % от уточненного плана, за счет средств местного бюджета в части софинансирования расходов по организации питания в пришкольных лагерях в сумме 2 050 387,84 рублей, или 94,1 % плановых назначений, расходы за счет средств местного бюджета на реализацию мероприятий (оплата труда работников, страхование детей и охрана зданий)  6 183 813,13 рублей, или 100,0 % плановых назначений.</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В рамках регионального проекта «Успех каждого ребенка» произведены расходы 49 136 976,50 рублей на дополнительное образование, исполнение составило 96,1%.</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Расходы на обеспечение деятельности учреждений молодежной политики за отчетный год составили 46 358 042,50 рублей или 96,7% от плана. </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 xml:space="preserve">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по основным общеобразовательным программам направлено 89 526 004,92 рублей, что </w:t>
                        </w:r>
                        <w:r>
                          <w:rPr>
                            <w:color w:val="000000"/>
                            <w:sz w:val="28"/>
                            <w:szCs w:val="28"/>
                          </w:rPr>
                          <w:lastRenderedPageBreak/>
                          <w:t>составляет 92,8 % плана. Экономия сложилась в соответствии с фактической посещаемостью детей. Социальную поддержку получили 2 318 обучающихся.</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9F54AC" w:rsidRDefault="0059407B">
                        <w:pPr>
                          <w:jc w:val="both"/>
                        </w:pPr>
                        <w:r>
                          <w:rPr>
                            <w:color w:val="000000"/>
                            <w:sz w:val="28"/>
                            <w:szCs w:val="28"/>
                          </w:rPr>
                          <w:t>На организацию и обеспечение отдыха и оздоровления детей, в том числе в этнической среде за счет окружного бюджета произведены расходы сумме 10 667 894,00 рублей, что составляет 100,0 % уточненного плана, средства направлены на организацию выездного отдыха детей.</w:t>
                        </w:r>
                      </w:p>
                    </w:tc>
                  </w:tr>
                </w:tbl>
                <w:p w:rsidR="009F54AC" w:rsidRDefault="0059407B">
                  <w:pPr>
                    <w:ind w:firstLine="560"/>
                    <w:jc w:val="both"/>
                  </w:pPr>
                  <w:r>
                    <w:rPr>
                      <w:color w:val="000000"/>
                      <w:sz w:val="28"/>
                      <w:szCs w:val="28"/>
                    </w:rPr>
                    <w:t>- субсидии автономным учреждениям на финансовое обеспечение муниципального задания в рамках исполнения государственного социального заказа на оказание государственных (муниципальных) услуг в социальной сфере в рамках регионального проекта «Успех каждого ребенка» за отчетный период составили 13 078 335,43 рублей или 91,7 % от плановых назначений (КРВ 624);</w:t>
                  </w:r>
                </w:p>
                <w:p w:rsidR="009F54AC" w:rsidRDefault="0059407B">
                  <w:pPr>
                    <w:ind w:firstLine="560"/>
                    <w:jc w:val="both"/>
                  </w:pPr>
                  <w:r>
                    <w:rPr>
                      <w:color w:val="000000"/>
                      <w:sz w:val="28"/>
                      <w:szCs w:val="28"/>
                    </w:rPr>
                    <w:t>- субсидии на иные цели бюджетным и автономным учреждениям на реализацию мероприятий муниципальной программы предоставлены на сумму 85 724 183,34 рублей (98,9 % от плана): </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В части реализации наказов избирателей исполнены расходы за счет средств окружного бюджета в сумме 2 800 394,00 рублей, или 100,00 % плановых назначений.</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направлены средства в сумме 58 794 000,00 рублей, или 100,00 % от уточненного плана, данная выплата произведена в полном объеме, в соответствии с табелем учета рабочего времени.</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На организацию учебных сборов в целях развития гражданско-патриотических, военно-патриотических качеств молодежи израсходовано 730 573,36 рублей или 100,00% от плана. За отчетный год 74 учащихся приняли участие в сборах.</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Мероприятия по поощрению обучающихся исполнены в сумме 552 786,00 рублей или 100,00 % от плана.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В рамках регионального проекта «Патриотическое воспитание граждан Российской Федерации» проведены мероприятия по обеспечению деятельности советников директора по воспитанию и взаимодействию с детскими общественными объединениями в 2-х общеобразовательных организациях в сумме 1 264 525,27 рублей, или 99,7% плановых назначений.</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В рамках обеспечения комплексной безопасности и повышения энергоэффективности образовательных организаций и учреждений молодежной политики расходы исполнены в сумме 10 464 441,52 рублей, что составляет 94,9 % от уточненного плана.</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На развитие материально-технической базы образовательных организаций и учреждений молодежной политики в 2024 году направлено       8 706 579,93 рублей или 100,0% от плана. </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9F54AC" w:rsidRDefault="0059407B">
                        <w:pPr>
                          <w:jc w:val="both"/>
                        </w:pPr>
                        <w:r>
                          <w:rPr>
                            <w:color w:val="000000"/>
                            <w:sz w:val="28"/>
                            <w:szCs w:val="28"/>
                          </w:rPr>
                          <w:t>Расходы в сумме 2 410 883,26 рубля направлены на организацию и проведение мероприятий конкурсной направленности, в том числе на выездные мероприятия. Исполнение составило 85,4% от плана.</w:t>
                        </w:r>
                      </w:p>
                    </w:tc>
                  </w:tr>
                </w:tbl>
                <w:p w:rsidR="009F54AC" w:rsidRDefault="0059407B">
                  <w:pPr>
                    <w:ind w:firstLine="560"/>
                    <w:jc w:val="both"/>
                  </w:pPr>
                  <w:r>
                    <w:rPr>
                      <w:color w:val="000000"/>
                      <w:sz w:val="28"/>
                      <w:szCs w:val="28"/>
                    </w:rPr>
                    <w:lastRenderedPageBreak/>
                    <w:t>- на администрирование переданного полномочия в части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направленны средства автономного округа в сумме 1 546 000,00 рублей, или 100,00 % уточненного плана; </w:t>
                  </w:r>
                </w:p>
                <w:p w:rsidR="009F54AC" w:rsidRDefault="0059407B">
                  <w:pPr>
                    <w:ind w:firstLine="560"/>
                    <w:jc w:val="both"/>
                  </w:pPr>
                  <w:r>
                    <w:rPr>
                      <w:color w:val="000000"/>
                      <w:sz w:val="28"/>
                      <w:szCs w:val="28"/>
                    </w:rPr>
                    <w:t>- на развитие материально-технической базы образовательных организаций и учреждений молодежной политики направлены средства в сумме 42 372 148,58 рублей, процент исполнения составил 94,8%. Не исполненные средства (ООО «РН-Юганскнефтегаз»), предусмотрены на проведение капитального ремонта МДОАУ д/с «Родничок», МДОАУ ЦРР-д/с «Аленький цветочек», МБУ «Современник» средства будут освоены в 2025 году.</w:t>
                  </w:r>
                </w:p>
                <w:p w:rsidR="009F54AC" w:rsidRDefault="0059407B">
                  <w:pPr>
                    <w:ind w:firstLine="560"/>
                    <w:jc w:val="both"/>
                  </w:pPr>
                  <w:r>
                    <w:rPr>
                      <w:color w:val="000000"/>
                      <w:sz w:val="28"/>
                      <w:szCs w:val="28"/>
                    </w:rPr>
                    <w:t>- на реализацию регионального проекта «Успех каждого ребенка» в части реализации муниципального социального заказа на оказание муниципальных услуг в социальной сфере в соответствии с социальным сертификатом направлены средства в сумме 20 350 546,70 рублей, или 100,00% плановых назначений. Услуги оказаны социально ориентированными некоммерческими организациями на сумму 8 881 052,60 рублей, а также индивидуальным предпринимателями на сумму 11 469 494,10 рублей.</w:t>
                  </w:r>
                </w:p>
                <w:p w:rsidR="009F54AC" w:rsidRDefault="0059407B">
                  <w:pPr>
                    <w:ind w:firstLine="560"/>
                    <w:jc w:val="both"/>
                  </w:pPr>
                  <w:r>
                    <w:rPr>
                      <w:color w:val="000000"/>
                      <w:sz w:val="28"/>
                      <w:szCs w:val="28"/>
                    </w:rPr>
                    <w:t>В ходе реализации муниципальной программы достигнуты следующие результаты:</w:t>
                  </w:r>
                </w:p>
                <w:p w:rsidR="009F54AC" w:rsidRDefault="0059407B">
                  <w:pPr>
                    <w:ind w:firstLine="560"/>
                    <w:jc w:val="both"/>
                  </w:pPr>
                  <w:r>
                    <w:rPr>
                      <w:color w:val="000000"/>
                      <w:sz w:val="28"/>
                      <w:szCs w:val="28"/>
                    </w:rPr>
                    <w:t>- Доступность дошкольного образования для детей в возрасте от 1,5 до 3 лет составила 100 %. Дошкольные образовательные организации посещают 394 воспитанника в возрасте от 1 года до 3-х лет, из них в возрасте от 1,5 до 3 - 374 воспитанника.</w:t>
                  </w:r>
                </w:p>
                <w:p w:rsidR="009F54AC" w:rsidRDefault="0059407B">
                  <w:pPr>
                    <w:ind w:firstLine="560"/>
                    <w:jc w:val="both"/>
                  </w:pPr>
                  <w:r>
                    <w:rPr>
                      <w:color w:val="000000"/>
                      <w:sz w:val="28"/>
                      <w:szCs w:val="28"/>
                    </w:rPr>
                    <w:t>-  Проведен ряд мероприятий, направленных на поддержку обучающихся, проявивших выдающиеся способности в учебной деятельности, в том числе: этапы всероссийских олимпиад, конкурсов научно-исследовательских, изобретательских и творческих работ.</w:t>
                  </w:r>
                </w:p>
                <w:p w:rsidR="009F54AC" w:rsidRDefault="0059407B">
                  <w:pPr>
                    <w:ind w:firstLine="560"/>
                    <w:jc w:val="both"/>
                  </w:pPr>
                  <w:r>
                    <w:rPr>
                      <w:color w:val="000000"/>
                      <w:sz w:val="28"/>
                      <w:szCs w:val="28"/>
                    </w:rPr>
                    <w:t>- Ведется работа по развитию системы воспитания, профилактике правонарушений среди несовершеннолетних, проведены: тематические классные часы среди обучающихся 1-11 классов, лекции, инструктажи, встречи обучающихся с инспектором ПДН и другие мероприятия.</w:t>
                  </w:r>
                </w:p>
                <w:p w:rsidR="009F54AC" w:rsidRDefault="0059407B">
                  <w:pPr>
                    <w:ind w:firstLine="560"/>
                    <w:jc w:val="both"/>
                  </w:pPr>
                  <w:r>
                    <w:rPr>
                      <w:color w:val="000000"/>
                      <w:sz w:val="28"/>
                      <w:szCs w:val="28"/>
                    </w:rPr>
                    <w:t>-   Реализованы мероприятия по повышению финансовой грамотности.</w:t>
                  </w:r>
                </w:p>
                <w:p w:rsidR="009F54AC" w:rsidRDefault="0059407B">
                  <w:pPr>
                    <w:ind w:firstLine="560"/>
                    <w:jc w:val="both"/>
                  </w:pPr>
                  <w:r>
                    <w:rPr>
                      <w:color w:val="000000"/>
                      <w:sz w:val="28"/>
                      <w:szCs w:val="28"/>
                    </w:rPr>
                    <w:t xml:space="preserve">- Проведены мероприятия направленные на развитие региональной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и учет динамики достижения каждого обучающегося,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а также повышение качества образования в школах с низкими образовательными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том числе обновление материально-технической </w:t>
                  </w:r>
                  <w:r>
                    <w:rPr>
                      <w:color w:val="000000"/>
                      <w:sz w:val="28"/>
                      <w:szCs w:val="28"/>
                    </w:rPr>
                    <w:lastRenderedPageBreak/>
                    <w:t>базы для формирования у обучающихся современных технологических и гуманитарных навыков.</w:t>
                  </w:r>
                </w:p>
                <w:p w:rsidR="009F54AC" w:rsidRDefault="0059407B">
                  <w:pPr>
                    <w:ind w:firstLine="560"/>
                    <w:jc w:val="both"/>
                  </w:pPr>
                  <w:r>
                    <w:rPr>
                      <w:color w:val="000000"/>
                      <w:sz w:val="28"/>
                      <w:szCs w:val="28"/>
                    </w:rPr>
                    <w:t>- Повышение информационной открытости и прозрачности системы образования достигается за счет функционирования государственной информационной системы ХМАО-Югры на цифровой образовательной платформе ГИС-Образование Югры: электронный журнал, электронный дневник, электронный детский сад. Все общеобразовательные организации города используют сервисы информационно-сервисной платформы цифровой образовательной среды. Официальные сайты общеобразовательных организаций переведены на платформу «Госвеб».</w:t>
                  </w:r>
                </w:p>
                <w:p w:rsidR="009F54AC" w:rsidRDefault="0059407B">
                  <w:pPr>
                    <w:ind w:firstLine="560"/>
                    <w:jc w:val="both"/>
                  </w:pPr>
                  <w:r>
                    <w:rPr>
                      <w:color w:val="000000"/>
                      <w:sz w:val="28"/>
                      <w:szCs w:val="28"/>
                    </w:rPr>
                    <w:t>- В школах города продолжена работа по ранней профессиональной ориентации обучающихся на военную службу и военные профессии. На базе МБОУ СОШ № 5 организована работа кадетских классов, в которых обучаются 240 человек, в МБОУ СОШ № 1, МБОУ СОШ № 4, МБОУ СОШ № 5, МАОУ «Прогимназия «Созвездие» организована работа Юнармейских классов, в которых обучаются 344 человека.</w:t>
                  </w:r>
                </w:p>
                <w:p w:rsidR="009F54AC" w:rsidRDefault="0059407B">
                  <w:pPr>
                    <w:ind w:firstLine="560"/>
                    <w:jc w:val="both"/>
                  </w:pPr>
                  <w:r>
                    <w:rPr>
                      <w:b/>
                      <w:bCs/>
                      <w:color w:val="000000"/>
                      <w:sz w:val="28"/>
                      <w:szCs w:val="28"/>
                    </w:rPr>
                    <w:t>2.</w:t>
                  </w:r>
                  <w:r>
                    <w:rPr>
                      <w:color w:val="000000"/>
                      <w:sz w:val="28"/>
                      <w:szCs w:val="28"/>
                    </w:rPr>
                    <w:t xml:space="preserve"> По </w:t>
                  </w:r>
                  <w:r>
                    <w:rPr>
                      <w:b/>
                      <w:bCs/>
                      <w:color w:val="000000"/>
                      <w:sz w:val="28"/>
                      <w:szCs w:val="28"/>
                    </w:rPr>
                    <w:t>муниципальной программе «Культурное пространство города Пыть-Яха»</w:t>
                  </w:r>
                  <w:r>
                    <w:rPr>
                      <w:color w:val="000000"/>
                      <w:sz w:val="28"/>
                      <w:szCs w:val="28"/>
                    </w:rPr>
                    <w:t xml:space="preserve"> исполнение расходов составило 87 106 946,20 рублей, или 94,2 %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посредством предоставления субсидии на выполнение муниципального задания МБОУ ДО «Детская школа искусств».</w:t>
                  </w:r>
                </w:p>
                <w:p w:rsidR="009F54AC" w:rsidRDefault="0059407B">
                  <w:pPr>
                    <w:ind w:firstLine="560"/>
                    <w:jc w:val="both"/>
                  </w:pPr>
                  <w:r>
                    <w:rPr>
                      <w:color w:val="000000"/>
                      <w:sz w:val="28"/>
                      <w:szCs w:val="28"/>
                    </w:rPr>
                    <w:t>Численность</w:t>
                  </w:r>
                  <w:r>
                    <w:rPr>
                      <w:color w:val="FF0000"/>
                      <w:sz w:val="28"/>
                      <w:szCs w:val="28"/>
                    </w:rPr>
                    <w:t> </w:t>
                  </w:r>
                  <w:r>
                    <w:rPr>
                      <w:color w:val="000000"/>
                      <w:sz w:val="28"/>
                      <w:szCs w:val="28"/>
                    </w:rPr>
                    <w:t>обучающихся в отчетном периоде составила 757 учащихся.</w:t>
                  </w:r>
                </w:p>
                <w:p w:rsidR="009F54AC" w:rsidRDefault="0059407B">
                  <w:pPr>
                    <w:ind w:firstLine="560"/>
                    <w:jc w:val="both"/>
                  </w:pPr>
                  <w:r>
                    <w:rPr>
                      <w:b/>
                      <w:bCs/>
                      <w:color w:val="000000"/>
                      <w:sz w:val="28"/>
                      <w:szCs w:val="28"/>
                    </w:rPr>
                    <w:t>3.</w:t>
                  </w:r>
                  <w:r>
                    <w:rPr>
                      <w:color w:val="000000"/>
                      <w:sz w:val="28"/>
                      <w:szCs w:val="28"/>
                    </w:rPr>
                    <w:t xml:space="preserve"> В рамках </w:t>
                  </w:r>
                  <w:r>
                    <w:rPr>
                      <w:b/>
                      <w:bCs/>
                      <w:color w:val="000000"/>
                      <w:sz w:val="28"/>
                      <w:szCs w:val="28"/>
                    </w:rPr>
                    <w:t>муниципальной программы «Укрепление межнационального и межконфессионального согласия, профилактика экстремизма в городе Пыть-Яхе»</w:t>
                  </w:r>
                  <w:r>
                    <w:rPr>
                      <w:color w:val="000000"/>
                      <w:sz w:val="28"/>
                      <w:szCs w:val="28"/>
                    </w:rPr>
                    <w:t> на изготовление раздаточной продукции (буклетов) для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 и поставку наградной продукции (подарочных сертификатов) для проведения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80 000,00 рублей, что составляет 100% уточненного плана. Расходы направлены на изготовлении 5000 шт. памяток, 10 ед. фоторамок, 6 шт. сухих пайков, 6 ед. рюкзаков, 21 – кубки и медали.</w:t>
                  </w:r>
                </w:p>
                <w:p w:rsidR="009F54AC" w:rsidRDefault="0059407B">
                  <w:pPr>
                    <w:ind w:firstLine="560"/>
                    <w:jc w:val="both"/>
                  </w:pPr>
                  <w:r>
                    <w:rPr>
                      <w:b/>
                      <w:bCs/>
                      <w:color w:val="000000"/>
                      <w:sz w:val="28"/>
                      <w:szCs w:val="28"/>
                    </w:rPr>
                    <w:t>4. </w:t>
                  </w:r>
                  <w:r>
                    <w:rPr>
                      <w:color w:val="000000"/>
                      <w:sz w:val="28"/>
                      <w:szCs w:val="28"/>
                    </w:rPr>
                    <w:t>В рамках</w:t>
                  </w:r>
                  <w:r>
                    <w:rPr>
                      <w:b/>
                      <w:bCs/>
                      <w:color w:val="000000"/>
                      <w:sz w:val="28"/>
                      <w:szCs w:val="28"/>
                    </w:rPr>
                    <w:t> муниципальной программы «Развитие гражданского общества в городе Пыть-Яхе» </w:t>
                  </w:r>
                  <w:r>
                    <w:rPr>
                      <w:color w:val="000000"/>
                      <w:sz w:val="28"/>
                      <w:szCs w:val="28"/>
                    </w:rPr>
                    <w:t>исполнение составило 5 801 000,00 рублей, процент исполнения составил 100,00%.</w:t>
                  </w:r>
                </w:p>
                <w:p w:rsidR="009F54AC" w:rsidRDefault="0059407B">
                  <w:pPr>
                    <w:ind w:firstLine="420"/>
                    <w:jc w:val="both"/>
                  </w:pPr>
                  <w:r>
                    <w:rPr>
                      <w:color w:val="000000"/>
                      <w:sz w:val="28"/>
                      <w:szCs w:val="28"/>
                    </w:rPr>
                    <w:t xml:space="preserve">Реализованы мероприятия общественными организациями, социально-ориентированным некоммерческим организациям. Общая численность граждан, </w:t>
                  </w:r>
                  <w:r>
                    <w:rPr>
                      <w:color w:val="000000"/>
                      <w:sz w:val="28"/>
                      <w:szCs w:val="28"/>
                    </w:rPr>
                    <w:lastRenderedPageBreak/>
                    <w:t>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6 236 человек.</w:t>
                  </w:r>
                </w:p>
                <w:p w:rsidR="009F54AC" w:rsidRDefault="0059407B">
                  <w:pPr>
                    <w:ind w:firstLine="560"/>
                    <w:jc w:val="both"/>
                  </w:pPr>
                  <w:r>
                    <w:rPr>
                      <w:b/>
                      <w:bCs/>
                      <w:color w:val="000000"/>
                      <w:sz w:val="28"/>
                      <w:szCs w:val="28"/>
                    </w:rPr>
                    <w:t>5.</w:t>
                  </w:r>
                  <w:r>
                    <w:rPr>
                      <w:color w:val="000000"/>
                      <w:sz w:val="28"/>
                      <w:szCs w:val="28"/>
                    </w:rPr>
                    <w:t xml:space="preserve"> В рамках </w:t>
                  </w:r>
                  <w:r>
                    <w:rPr>
                      <w:b/>
                      <w:bCs/>
                      <w:color w:val="000000"/>
                      <w:sz w:val="28"/>
                      <w:szCs w:val="28"/>
                    </w:rPr>
                    <w:t>муниципальной программы «Развитие муниципальной службы в городе Пыть-Яхе»</w:t>
                  </w:r>
                  <w:r>
                    <w:rPr>
                      <w:color w:val="000000"/>
                      <w:sz w:val="28"/>
                      <w:szCs w:val="28"/>
                    </w:rPr>
                    <w:t xml:space="preserve"> направлены расходы на содержание управления по образованию в сумме 27 411 831,52 рубль, процент исполнения составил 99,9%. Наибольшая часть расходов направлена на оплату труда и начисления на выплаты по оплате труда в сумме 26 829 216,68 рублей и составляет 97,9 % от общей суммы расходов.</w:t>
                  </w:r>
                </w:p>
                <w:p w:rsidR="009F54AC" w:rsidRDefault="0059407B">
                  <w:pPr>
                    <w:ind w:firstLine="700"/>
                    <w:jc w:val="both"/>
                  </w:pPr>
                  <w:r>
                    <w:rPr>
                      <w:b/>
                      <w:bCs/>
                      <w:color w:val="000000"/>
                      <w:sz w:val="28"/>
                      <w:szCs w:val="28"/>
                    </w:rPr>
                    <w:t>Раздел 0800 «Культура, кинематография»</w:t>
                  </w:r>
                </w:p>
                <w:p w:rsidR="009F54AC" w:rsidRDefault="0059407B">
                  <w:pPr>
                    <w:ind w:right="180" w:firstLine="560"/>
                    <w:jc w:val="both"/>
                  </w:pPr>
                  <w:r>
                    <w:rPr>
                      <w:color w:val="000000"/>
                      <w:sz w:val="28"/>
                      <w:szCs w:val="28"/>
                    </w:rPr>
                    <w:t>По данному разделу расходы произведены в сумме 298 472 409,87 рублей, что составляет 98,5% к уточненному плану – 303 034 607,50 рублей, в том числе за счет средств вышестоящего бюджета 1 255 400,00 рублей.</w:t>
                  </w:r>
                </w:p>
                <w:p w:rsidR="009F54AC" w:rsidRDefault="0059407B">
                  <w:pPr>
                    <w:ind w:firstLine="560"/>
                    <w:jc w:val="both"/>
                  </w:pPr>
                  <w:r>
                    <w:rPr>
                      <w:color w:val="000000"/>
                      <w:sz w:val="28"/>
                      <w:szCs w:val="28"/>
                    </w:rPr>
                    <w:t>По данному разделу реализовались расходы по трем муниципальным программам:</w:t>
                  </w:r>
                </w:p>
                <w:p w:rsidR="009F54AC" w:rsidRDefault="0059407B">
                  <w:pPr>
                    <w:ind w:left="560"/>
                    <w:jc w:val="both"/>
                  </w:pPr>
                  <w:r>
                    <w:rPr>
                      <w:color w:val="000000"/>
                      <w:sz w:val="28"/>
                      <w:szCs w:val="28"/>
                    </w:rPr>
                    <w:t>-    муниципальная программа «Культурное пространство города Пыть-Яха»;</w:t>
                  </w:r>
                </w:p>
                <w:p w:rsidR="009F54AC" w:rsidRDefault="0059407B">
                  <w:pPr>
                    <w:ind w:left="560"/>
                    <w:jc w:val="both"/>
                  </w:pPr>
                  <w:r>
                    <w:rPr>
                      <w:color w:val="000000"/>
                      <w:sz w:val="28"/>
                      <w:szCs w:val="28"/>
                    </w:rPr>
                    <w:t>-  муниципальная программа «Развитие муниципальной службы в городе Пыть-Яхе»;</w:t>
                  </w:r>
                </w:p>
                <w:p w:rsidR="009F54AC" w:rsidRDefault="0059407B">
                  <w:pPr>
                    <w:ind w:left="560"/>
                    <w:jc w:val="both"/>
                  </w:pPr>
                  <w:r>
                    <w:rPr>
                      <w:color w:val="000000"/>
                      <w:sz w:val="28"/>
                      <w:szCs w:val="28"/>
                    </w:rPr>
                    <w:t>- муниципальная программа «Устойчивое развитие коренных малочисленных народов Севера в городе Пыть-Яхе».</w:t>
                  </w:r>
                </w:p>
                <w:p w:rsidR="009F54AC" w:rsidRDefault="0059407B">
                  <w:pPr>
                    <w:ind w:firstLine="560"/>
                    <w:jc w:val="both"/>
                  </w:pPr>
                  <w:r>
                    <w:rPr>
                      <w:color w:val="000000"/>
                      <w:sz w:val="28"/>
                      <w:szCs w:val="28"/>
                    </w:rPr>
                    <w:t xml:space="preserve">В рамках </w:t>
                  </w:r>
                  <w:r>
                    <w:rPr>
                      <w:b/>
                      <w:bCs/>
                      <w:color w:val="000000"/>
                      <w:sz w:val="28"/>
                      <w:szCs w:val="28"/>
                    </w:rPr>
                    <w:t>муниципальной программы «Культурное пространство города Пыть-Яха» </w:t>
                  </w:r>
                  <w:r>
                    <w:rPr>
                      <w:color w:val="000000"/>
                      <w:sz w:val="28"/>
                      <w:szCs w:val="28"/>
                    </w:rPr>
                    <w:t>расходы составили 287 300 224,20 рубля, или 98,4% от плановых назначений и направлены:</w:t>
                  </w:r>
                </w:p>
                <w:p w:rsidR="009F54AC" w:rsidRDefault="0059407B">
                  <w:pPr>
                    <w:jc w:val="both"/>
                  </w:pPr>
                  <w:r>
                    <w:rPr>
                      <w:color w:val="000000"/>
                      <w:sz w:val="28"/>
                      <w:szCs w:val="28"/>
                    </w:rPr>
                    <w:t>- на финансовое обеспечение выполнения муниципальных заданий автономных учреждений культуры в сумме 258 499 981,90 рубль или 98,9% к уточненному плану на год – 258 558 383,90 рубля, в том числе 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 Средняя заработная плата работников культуры составила 95 689,70 рублей или 100% к плану. Посещение культурных мероприятий составило 312 895, в том числе: посещений библиотек - 134 512, культурно-массовых мероприятий учреждений культурно-досугового типа – 95 509, музеев - 5 629, кинотеатров - 13 843, число обращений к цифровым ресурсам в сфере культуры данные счетчика «Цифровая культура» (ЕИПСК) - 45 917 (визиты), культурных мероприятий, проводимых детскими школами искусств – 17 485. Количество специалистов, прошедших повышение квалификации на базе Центров непрерывного образования, (человек) – 9 человек; </w:t>
                  </w:r>
                </w:p>
                <w:p w:rsidR="009F54AC" w:rsidRDefault="0059407B">
                  <w:pPr>
                    <w:jc w:val="both"/>
                  </w:pPr>
                  <w:r>
                    <w:rPr>
                      <w:color w:val="000000"/>
                      <w:sz w:val="28"/>
                      <w:szCs w:val="28"/>
                    </w:rPr>
                    <w:t xml:space="preserve">- субсидии на иные цели муниципальным автономным учреждениям в сумме 21 467 056,92 рублей или 100% от плана. Расходы направлены на: обеспечение комплексной безопасности (в том числе мероприятия антитеррористической направленности) в сумме 1 312 517,79 рублей, поставку печатной продукции в целях пополнения книжного фонда в сумме 155 882,35 рубля, содержание недвижимого имущества, закрепленного за учреждением Учредителем, в том числе на оплату труда, не связанного с финансовым обеспечением выполнения муниципального задания МАУК </w:t>
                  </w:r>
                  <w:r>
                    <w:rPr>
                      <w:color w:val="000000"/>
                      <w:sz w:val="28"/>
                      <w:szCs w:val="28"/>
                    </w:rPr>
                    <w:lastRenderedPageBreak/>
                    <w:t>«МКЦ: ФЕНИКС» в сумме 4 769 223,96 рубля, на поставку сценических костюмов МАУК «КДЦ» в сумме 425 000,00 рублей, на разработку мастер-плана в целях развития и благоустройства территории парка культуры и отдыха, зонального военно-патриотического центра «Витязь», оплата произведена в сумме 1 500 000,00 рублей; поставку снежной пушки SMI Super Polecat с насосом высокого давления и электромонтажные работы по подключению - 5 939 496,14 рублей; оргтехники – 1 688 000,00 рублей; укрепление материально-технической базы МАУК «МКЦ: ФЕНИКС» - 5 676 936,68 рублей;</w:t>
                  </w:r>
                </w:p>
                <w:p w:rsidR="009F54AC" w:rsidRDefault="0059407B">
                  <w:pPr>
                    <w:ind w:firstLine="560"/>
                    <w:jc w:val="both"/>
                  </w:pPr>
                  <w:r>
                    <w:rPr>
                      <w:color w:val="000000"/>
                      <w:sz w:val="28"/>
                      <w:szCs w:val="28"/>
                    </w:rPr>
                    <w:t>- разработка проектно-сметной документации на капитальный ремонт подпорной железобетонной стены, расположенной вдоль улицы С. Федорова в сумме 542 000,00 рублей;          </w:t>
                  </w:r>
                </w:p>
                <w:p w:rsidR="009F54AC" w:rsidRDefault="0059407B">
                  <w:pPr>
                    <w:ind w:firstLine="560"/>
                    <w:jc w:val="both"/>
                  </w:pPr>
                  <w:r>
                    <w:rPr>
                      <w:color w:val="000000"/>
                      <w:sz w:val="28"/>
                      <w:szCs w:val="28"/>
                    </w:rPr>
                    <w:t>- субвенция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в сумме 397 600,00 рублей исполнена в полном объёме;</w:t>
                  </w:r>
                </w:p>
                <w:p w:rsidR="009F54AC" w:rsidRDefault="0059407B">
                  <w:pPr>
                    <w:ind w:firstLine="560"/>
                    <w:jc w:val="both"/>
                  </w:pPr>
                  <w:r>
                    <w:rPr>
                      <w:color w:val="000000"/>
                      <w:sz w:val="28"/>
                      <w:szCs w:val="28"/>
                    </w:rPr>
                    <w:t>- выполнение работ по укреплению материально-технической базы МАУК «Культурно-досуговый центр» работы произведены в полном объеме в размере 2 193 079,48 рублей;</w:t>
                  </w:r>
                </w:p>
                <w:p w:rsidR="009F54AC" w:rsidRDefault="0059407B">
                  <w:pPr>
                    <w:ind w:firstLine="560"/>
                    <w:jc w:val="both"/>
                  </w:pPr>
                  <w:r>
                    <w:rPr>
                      <w:color w:val="000000"/>
                      <w:sz w:val="28"/>
                      <w:szCs w:val="28"/>
                    </w:rPr>
                    <w:t>- выполнение работ по проведению комплексного обследования технического состояния объекта капитального строительства: ГДК «Россия» расходы составили в сумме 532 900,00 рублей или 100% от плана;</w:t>
                  </w:r>
                </w:p>
                <w:p w:rsidR="009F54AC" w:rsidRDefault="0059407B">
                  <w:pPr>
                    <w:ind w:firstLine="560"/>
                    <w:jc w:val="both"/>
                  </w:pPr>
                  <w:r>
                    <w:rPr>
                      <w:color w:val="000000"/>
                      <w:sz w:val="28"/>
                      <w:szCs w:val="28"/>
                    </w:rPr>
                    <w:t>- архитектурно-художественное освещение объекта МАУК «Многофункциональный культурный центр «Феникс» микрорайон 4 Молодежный в г. Пыть-Ях</w:t>
                  </w:r>
                  <w:r>
                    <w:rPr>
                      <w:color w:val="FF0000"/>
                      <w:sz w:val="28"/>
                      <w:szCs w:val="28"/>
                    </w:rPr>
                    <w:t> </w:t>
                  </w:r>
                  <w:r>
                    <w:rPr>
                      <w:color w:val="000000"/>
                      <w:sz w:val="28"/>
                      <w:szCs w:val="28"/>
                    </w:rPr>
                    <w:t>расходы составили 3 667 605,90 рублей.</w:t>
                  </w:r>
                </w:p>
                <w:p w:rsidR="009F54AC" w:rsidRDefault="0059407B">
                  <w:pPr>
                    <w:jc w:val="both"/>
                  </w:pPr>
                  <w:r>
                    <w:rPr>
                      <w:color w:val="000000"/>
                      <w:sz w:val="28"/>
                      <w:szCs w:val="28"/>
                    </w:rPr>
                    <w:t xml:space="preserve">        В рамках </w:t>
                  </w:r>
                  <w:r>
                    <w:rPr>
                      <w:b/>
                      <w:bCs/>
                      <w:color w:val="000000"/>
                      <w:sz w:val="28"/>
                      <w:szCs w:val="28"/>
                    </w:rPr>
                    <w:t>муниципальной программы «Развитие муниципальной службы в городе Пыть-Яхе»</w:t>
                  </w:r>
                  <w:r>
                    <w:rPr>
                      <w:color w:val="000000"/>
                      <w:sz w:val="28"/>
                      <w:szCs w:val="28"/>
                    </w:rPr>
                    <w:t xml:space="preserve"> направлены расходы на обеспечение деятельности отдела по культуре и искусству администрации города со штатной численностью в количестве 4 единиц. На конец отчетного периода все ставки заняты. Среднесписочная численность составила 4 человека. Расходы за 2024 год составили 9 543 885,67 рублей или 99,8% от плановых назначений – 9 565 287,18 рублей. </w:t>
                  </w:r>
                </w:p>
                <w:p w:rsidR="009F54AC" w:rsidRDefault="0059407B">
                  <w:pPr>
                    <w:jc w:val="both"/>
                  </w:pPr>
                  <w:r>
                    <w:rPr>
                      <w:color w:val="000000"/>
                      <w:sz w:val="28"/>
                      <w:szCs w:val="28"/>
                    </w:rPr>
                    <w:t>        </w:t>
                  </w:r>
                  <w:r>
                    <w:rPr>
                      <w:b/>
                      <w:bCs/>
                      <w:color w:val="000000"/>
                      <w:sz w:val="28"/>
                      <w:szCs w:val="28"/>
                    </w:rPr>
                    <w:t>Муниципальная программа «Устойчивое развитие коренных малочисленных народов Севера в городе Пыть-Яхе»</w:t>
                  </w:r>
                  <w:r>
                    <w:rPr>
                      <w:color w:val="000000"/>
                      <w:sz w:val="28"/>
                      <w:szCs w:val="28"/>
                    </w:rPr>
                    <w:t xml:space="preserve"> исполнена в полном объеме: расходы за 2024 год составили 1 628 300,00 рублей, что составляет 100% уточненного плана. Расходы в рамках муниципальной программы направлены на участие в лекции «Писатели Югры», посвященной Международному дню коренных народов, хантыйской игры «Соот», материальное обеспечение проведения городского праздника «Вороний день». Приобретены товары с целью развития и пропаганды этноспорта и традиционных видов спорта коренных малочисленных народов Севера – ханты.</w:t>
                  </w:r>
                </w:p>
                <w:p w:rsidR="009F54AC" w:rsidRDefault="0059407B">
                  <w:pPr>
                    <w:ind w:firstLine="700"/>
                    <w:jc w:val="both"/>
                  </w:pPr>
                  <w:r>
                    <w:rPr>
                      <w:b/>
                      <w:bCs/>
                      <w:color w:val="000000"/>
                      <w:sz w:val="28"/>
                      <w:szCs w:val="28"/>
                    </w:rPr>
                    <w:t>Раздел 0900 «Здравоохранение» </w:t>
                  </w:r>
                </w:p>
                <w:p w:rsidR="009F54AC" w:rsidRDefault="0059407B">
                  <w:pPr>
                    <w:ind w:firstLine="560"/>
                    <w:jc w:val="both"/>
                  </w:pPr>
                  <w:r>
                    <w:rPr>
                      <w:color w:val="000000"/>
                      <w:sz w:val="28"/>
                      <w:szCs w:val="28"/>
                    </w:rPr>
                    <w:t xml:space="preserve">Расходы по данному разделу производились в рамках </w:t>
                  </w:r>
                  <w:r>
                    <w:rPr>
                      <w:b/>
                      <w:bCs/>
                      <w:color w:val="000000"/>
                      <w:sz w:val="28"/>
                      <w:szCs w:val="28"/>
                    </w:rPr>
                    <w:t>муниципальной программы «Экологическая безопасность города Пыть-Яха»</w:t>
                  </w:r>
                  <w:r>
                    <w:rPr>
                      <w:color w:val="000000"/>
                      <w:sz w:val="28"/>
                      <w:szCs w:val="28"/>
                    </w:rPr>
                    <w:t xml:space="preserve"> направлены на осуществление мероприятий по проведению дезинсекции и дератизации территорий в </w:t>
                  </w:r>
                  <w:r>
                    <w:rPr>
                      <w:color w:val="000000"/>
                      <w:sz w:val="28"/>
                      <w:szCs w:val="28"/>
                    </w:rPr>
                    <w:lastRenderedPageBreak/>
                    <w:t>муниципальном образовании город Пыть-Ях в соответствии с Законом   Ханты-Мансийского автономного округа –Югры от 23.12.2016 N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в общей сумме 2 745 174,26 рубля или 100% от плановых назначений 2 745 200,00 рублей. </w:t>
                  </w:r>
                </w:p>
                <w:p w:rsidR="009F54AC" w:rsidRDefault="0059407B">
                  <w:pPr>
                    <w:ind w:firstLine="700"/>
                    <w:jc w:val="both"/>
                  </w:pPr>
                  <w:r>
                    <w:rPr>
                      <w:color w:val="000000"/>
                      <w:sz w:val="28"/>
                      <w:szCs w:val="28"/>
                    </w:rPr>
                    <w:t>В отчетном периоде произведены расходы на оказание услуг по дезинсекции и дератизации, на оказание услуг по контролю эффективности дезинсекции и дератизации территорий. Фонд оплаты труда и начисления на выплаты по оплате труда составили 34 000,00 рублей.</w:t>
                  </w:r>
                </w:p>
                <w:p w:rsidR="009F54AC" w:rsidRDefault="0059407B">
                  <w:pPr>
                    <w:ind w:firstLine="700"/>
                    <w:jc w:val="both"/>
                  </w:pPr>
                  <w:r>
                    <w:rPr>
                      <w:color w:val="000000"/>
                      <w:sz w:val="28"/>
                      <w:szCs w:val="28"/>
                    </w:rPr>
                    <w:t>По состоянию на 31.12.2024 проведены 7 этапов акарицидной, лаврицидной и дератизационной обработки территорий специальными средствами на площади 2 132,4 га.</w:t>
                  </w:r>
                </w:p>
                <w:p w:rsidR="009F54AC" w:rsidRDefault="0059407B">
                  <w:pPr>
                    <w:ind w:firstLine="700"/>
                    <w:jc w:val="both"/>
                  </w:pPr>
                  <w:r>
                    <w:rPr>
                      <w:b/>
                      <w:bCs/>
                      <w:color w:val="000000"/>
                      <w:sz w:val="28"/>
                      <w:szCs w:val="28"/>
                    </w:rPr>
                    <w:t>Раздел 10 00 «Социальная политика» </w:t>
                  </w:r>
                </w:p>
                <w:p w:rsidR="009F54AC" w:rsidRDefault="0059407B">
                  <w:pPr>
                    <w:ind w:firstLine="720"/>
                    <w:jc w:val="both"/>
                  </w:pPr>
                  <w:r>
                    <w:rPr>
                      <w:color w:val="000000"/>
                      <w:sz w:val="28"/>
                      <w:szCs w:val="28"/>
                    </w:rPr>
                    <w:t>Расходы по разделу исполнены в сумме 222 499 418,10 рублей, что составляет 98,4% к уточненному плану 226 091 854,82 рубля, в том числе за счет средств федерального бюджета расходы исполнены в сумме 63 240 440,38 рублей или 99,9% к уточненному плану, за счет средств бюджета автономного округа расходы составили 110 944 470,20 рублей или 99,9% от плана 111 039 333,52 рубля.         Удельный вес данных расходов в общем объеме расходов бюджета городского округа составил 4,1 %.</w:t>
                  </w:r>
                </w:p>
                <w:p w:rsidR="009F54AC" w:rsidRDefault="0059407B">
                  <w:pPr>
                    <w:ind w:firstLine="560"/>
                    <w:jc w:val="both"/>
                  </w:pPr>
                  <w:r>
                    <w:rPr>
                      <w:color w:val="000000"/>
                      <w:sz w:val="28"/>
                      <w:szCs w:val="28"/>
                    </w:rPr>
                    <w:t>Расходы в разрезе муниципальных программ представлены следующим образом:</w:t>
                  </w:r>
                </w:p>
                <w:p w:rsidR="009F54AC" w:rsidRDefault="0059407B">
                  <w:pPr>
                    <w:ind w:firstLine="560"/>
                    <w:jc w:val="both"/>
                  </w:pPr>
                  <w:r>
                    <w:rPr>
                      <w:color w:val="000000"/>
                      <w:sz w:val="28"/>
                      <w:szCs w:val="28"/>
                    </w:rPr>
                    <w:t xml:space="preserve">1. </w:t>
                  </w:r>
                  <w:r>
                    <w:rPr>
                      <w:b/>
                      <w:bCs/>
                      <w:color w:val="000000"/>
                      <w:sz w:val="28"/>
                      <w:szCs w:val="28"/>
                    </w:rPr>
                    <w:t>Муниципальная программа «Развитие образования в городе Пыть-Яхе» </w:t>
                  </w:r>
                  <w:r>
                    <w:rPr>
                      <w:color w:val="000000"/>
                      <w:sz w:val="28"/>
                      <w:szCs w:val="28"/>
                    </w:rPr>
                    <w:t xml:space="preserve">расходы в сумме 27 286 000,00 рублей или 100 % к уточненному плану 27 286 000,00 рублей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N 273-ФЗ «Об образовании» и п. 2 ст. 4 Закона ХМАО - Югры от 21.02.2007 N 2-оз «О регулировании отдельных вопросов, возникающих в связи с компенсацией части родительской платы,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 (в ред. от 24.08.2024 № 55-оз). В отчетном периоде в целях материальной поддержки воспитания и обучения детей, посещающих образовательные учреждения дошкольного образования получили компенсацию 1690 получателей гарантий: в том числе компенсация родителям на первого ребенка в размере 20% выплачена 556 получателям гарантий, на второго ребенка в размере 50% - 627 получателям гарантий, на третьего ребенка и последующих детей в размере 70% - 485 получателей гарантий, </w:t>
                  </w:r>
                  <w:r>
                    <w:rPr>
                      <w:color w:val="000000"/>
                      <w:sz w:val="28"/>
                      <w:szCs w:val="28"/>
                    </w:rPr>
                    <w:lastRenderedPageBreak/>
                    <w:t>члены семей мобилизованных, посещающих детский сад – 10 получателей гарантий, члены семей участников СВО – 12 получателей гарантий.</w:t>
                  </w:r>
                </w:p>
                <w:p w:rsidR="009F54AC" w:rsidRDefault="0059407B">
                  <w:pPr>
                    <w:ind w:firstLine="700"/>
                    <w:jc w:val="both"/>
                  </w:pPr>
                  <w:r>
                    <w:rPr>
                      <w:b/>
                      <w:bCs/>
                      <w:color w:val="000000"/>
                      <w:sz w:val="28"/>
                      <w:szCs w:val="28"/>
                    </w:rPr>
                    <w:t>2. Муниципальная программа «Социальное и демографическое развитие города Пыть-Яха»</w:t>
                  </w:r>
                  <w:r>
                    <w:rPr>
                      <w:color w:val="000000"/>
                      <w:sz w:val="28"/>
                      <w:szCs w:val="28"/>
                    </w:rPr>
                    <w:t> расходы произведены в сумме 31 908 400,00 рублей или 91,0% от уточненного плана в сумме 35 058 400,00 рублей. </w:t>
                  </w:r>
                </w:p>
                <w:p w:rsidR="009F54AC" w:rsidRDefault="0059407B">
                  <w:pPr>
                    <w:ind w:firstLine="700"/>
                    <w:jc w:val="both"/>
                  </w:pPr>
                  <w:r>
                    <w:rPr>
                      <w:color w:val="000000"/>
                      <w:sz w:val="28"/>
                      <w:szCs w:val="28"/>
                    </w:rPr>
                    <w:t>Расходы направлены на:</w:t>
                  </w:r>
                </w:p>
                <w:p w:rsidR="009F54AC" w:rsidRDefault="0059407B">
                  <w:pPr>
                    <w:ind w:firstLine="700"/>
                    <w:jc w:val="both"/>
                  </w:pPr>
                  <w:r>
                    <w:rPr>
                      <w:color w:val="000000"/>
                      <w:sz w:val="28"/>
                      <w:szCs w:val="28"/>
                    </w:rPr>
                    <w:t>- дополнительные выплаты к пенсии за выслугу лет лицам, замещавшим муниципальные должности и должности муниципальной службы в сумме 11 278 400,00 рублей, что составляет 100 % от плана, выплата произведена 72 получателю на основании уточненных списков получателей;</w:t>
                  </w:r>
                </w:p>
                <w:p w:rsidR="009F54AC" w:rsidRDefault="0059407B">
                  <w:pPr>
                    <w:ind w:firstLine="700"/>
                    <w:jc w:val="both"/>
                  </w:pPr>
                  <w:r>
                    <w:rPr>
                      <w:color w:val="000000"/>
                      <w:sz w:val="28"/>
                      <w:szCs w:val="28"/>
                    </w:rPr>
                    <w:t>- предоставление денежных выплат почетным гражданам города Пыть-Яха в сумме 410 000,00 рублей, выплаты направлены 14 гражданам;</w:t>
                  </w:r>
                </w:p>
                <w:p w:rsidR="009F54AC" w:rsidRDefault="0059407B">
                  <w:pPr>
                    <w:ind w:firstLine="700"/>
                    <w:jc w:val="both"/>
                  </w:pPr>
                  <w:r>
                    <w:rPr>
                      <w:color w:val="000000"/>
                      <w:sz w:val="28"/>
                      <w:szCs w:val="28"/>
                    </w:rPr>
                    <w:t>-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погибших в годы ВОВ) в сумме 70 000,00 рублей или 100% от плана;</w:t>
                  </w:r>
                </w:p>
                <w:p w:rsidR="009F54AC" w:rsidRDefault="0059407B">
                  <w:pPr>
                    <w:ind w:firstLine="700"/>
                    <w:jc w:val="both"/>
                  </w:pPr>
                  <w:r>
                    <w:rPr>
                      <w:color w:val="000000"/>
                      <w:sz w:val="28"/>
                      <w:szCs w:val="28"/>
                    </w:rPr>
                    <w:t>- дополнительные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 составили 20 150 000,00 рублей или 86,5% от плана в сумме 23 300 000,00 рублей.</w:t>
                  </w:r>
                </w:p>
                <w:p w:rsidR="009F54AC" w:rsidRDefault="0059407B">
                  <w:pPr>
                    <w:ind w:firstLine="700"/>
                    <w:jc w:val="both"/>
                  </w:pPr>
                  <w:r>
                    <w:rPr>
                      <w:b/>
                      <w:bCs/>
                      <w:color w:val="000000"/>
                      <w:sz w:val="28"/>
                      <w:szCs w:val="28"/>
                    </w:rPr>
                    <w:t>3.</w:t>
                  </w:r>
                  <w:r>
                    <w:rPr>
                      <w:color w:val="000000"/>
                      <w:sz w:val="28"/>
                      <w:szCs w:val="28"/>
                    </w:rPr>
                    <w:t> </w:t>
                  </w:r>
                  <w:r>
                    <w:rPr>
                      <w:b/>
                      <w:bCs/>
                      <w:color w:val="000000"/>
                      <w:sz w:val="28"/>
                      <w:szCs w:val="28"/>
                    </w:rPr>
                    <w:t>Муниципальная программа «Развитие жилищной сферы в городе Пыть-Яхе»</w:t>
                  </w:r>
                  <w:r>
                    <w:rPr>
                      <w:color w:val="000000"/>
                      <w:sz w:val="28"/>
                      <w:szCs w:val="28"/>
                    </w:rPr>
                    <w:t xml:space="preserve"> расходы в сумме 163 305 018,10 рублей составляют 99,7% к уточненному плану 163 747 454,82 рубля и направлены:</w:t>
                  </w:r>
                </w:p>
                <w:p w:rsidR="009F54AC" w:rsidRDefault="0059407B">
                  <w:pPr>
                    <w:jc w:val="both"/>
                  </w:pPr>
                  <w:r>
                    <w:rPr>
                      <w:color w:val="000000"/>
                      <w:sz w:val="28"/>
                      <w:szCs w:val="28"/>
                    </w:rPr>
                    <w:t>         - на предоставление гражданам субсидий на реализацию мероприятий по обеспечению жильем молодых семей. Субсидия предоставлена 1 семье в сумме 3 190 351,50 рублей;</w:t>
                  </w:r>
                </w:p>
                <w:p w:rsidR="009F54AC" w:rsidRDefault="0059407B">
                  <w:pPr>
                    <w:jc w:val="both"/>
                  </w:pPr>
                  <w:r>
                    <w:rPr>
                      <w:color w:val="000000"/>
                      <w:sz w:val="28"/>
                      <w:szCs w:val="28"/>
                    </w:rPr>
                    <w:t>         -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 Субсидия предоставлена одному гражданину, состоящему на учете для предоставления жилья и относящемуся к льготной категории («инвалиды») в сумме 1 847 538,00 рублей;</w:t>
                  </w:r>
                </w:p>
                <w:p w:rsidR="009F54AC" w:rsidRDefault="0059407B">
                  <w:pPr>
                    <w:spacing w:after="60"/>
                    <w:jc w:val="both"/>
                  </w:pPr>
                  <w:r>
                    <w:rPr>
                      <w:color w:val="000000"/>
                      <w:sz w:val="28"/>
                      <w:szCs w:val="28"/>
                    </w:rPr>
                    <w:t>         - на улучшение жилищных условий по переселению граждан из не предназначенных для проживания строений, созданных в период промышленного освоения Сибири и Дальнего Востока предоставлено 31 семье в сумме 149 341 654,00 рублей.</w:t>
                  </w:r>
                </w:p>
                <w:p w:rsidR="009F54AC" w:rsidRDefault="0059407B">
                  <w:pPr>
                    <w:ind w:firstLine="700"/>
                    <w:jc w:val="both"/>
                  </w:pPr>
                  <w:r>
                    <w:rPr>
                      <w:b/>
                      <w:bCs/>
                      <w:color w:val="000000"/>
                      <w:sz w:val="28"/>
                      <w:szCs w:val="28"/>
                    </w:rPr>
                    <w:t>Раздел 11 00 «Физическая культура и спорт»</w:t>
                  </w:r>
                </w:p>
                <w:p w:rsidR="009F54AC" w:rsidRDefault="0059407B">
                  <w:pPr>
                    <w:ind w:firstLine="700"/>
                    <w:jc w:val="both"/>
                  </w:pPr>
                  <w:r>
                    <w:rPr>
                      <w:color w:val="000000"/>
                      <w:sz w:val="28"/>
                      <w:szCs w:val="28"/>
                    </w:rPr>
                    <w:t xml:space="preserve">По данному разделу расходы предусмотрены на реализацию двух муниципальных программ муниципального образования, расходы в сумме 292 278 </w:t>
                  </w:r>
                  <w:r>
                    <w:rPr>
                      <w:color w:val="000000"/>
                      <w:sz w:val="28"/>
                      <w:szCs w:val="28"/>
                    </w:rPr>
                    <w:lastRenderedPageBreak/>
                    <w:t>124,87 рубля составили 61,6% от плановых назначений – 474 221 032,41 рубля. Удельный вес данных расходов в общей сумме расходов составил 5,3%.</w:t>
                  </w:r>
                </w:p>
                <w:p w:rsidR="009F54AC" w:rsidRDefault="0059407B">
                  <w:pPr>
                    <w:ind w:firstLine="700"/>
                    <w:jc w:val="both"/>
                  </w:pPr>
                  <w:r>
                    <w:rPr>
                      <w:color w:val="000000"/>
                      <w:sz w:val="28"/>
                      <w:szCs w:val="28"/>
                    </w:rPr>
                    <w:t xml:space="preserve">По </w:t>
                  </w:r>
                  <w:r>
                    <w:rPr>
                      <w:b/>
                      <w:bCs/>
                      <w:color w:val="000000"/>
                      <w:sz w:val="28"/>
                      <w:szCs w:val="28"/>
                    </w:rPr>
                    <w:t>муниципальной программе «Развитие муниципальной службы в городе Пыть-Яхе»</w:t>
                  </w:r>
                  <w:r>
                    <w:rPr>
                      <w:color w:val="000000"/>
                      <w:sz w:val="28"/>
                      <w:szCs w:val="28"/>
                    </w:rPr>
                    <w:t xml:space="preserve"> исполнение составило 4 103 258,43 рублей или 99,9% от плана 4 104 250,19 рублей. Расходы направлены на обеспечение деятельности управления по культуре и спорту в части физической культуры и спорта, являющегося структурным подразделением местной администрации, без статуса юридического лица, где содержатся 4 штатные единицы. На конец отчетного периода фактически занято 4 штатные единицы, вакантна ставка начальника отдела, среднегодовая численность составляет 3 ед. Расходы на оплату труда и начисления на выплаты по оплате труда составляют 99,6 % в сумме 4 088 459,99 рублей от общей суммы расходов.</w:t>
                  </w:r>
                </w:p>
                <w:p w:rsidR="009F54AC" w:rsidRDefault="0059407B">
                  <w:pPr>
                    <w:ind w:firstLine="700"/>
                    <w:jc w:val="both"/>
                  </w:pPr>
                  <w:r>
                    <w:rPr>
                      <w:color w:val="000000"/>
                      <w:sz w:val="28"/>
                      <w:szCs w:val="28"/>
                    </w:rPr>
                    <w:t xml:space="preserve">В рамках </w:t>
                  </w:r>
                  <w:r>
                    <w:rPr>
                      <w:b/>
                      <w:bCs/>
                      <w:color w:val="000000"/>
                      <w:sz w:val="28"/>
                      <w:szCs w:val="28"/>
                    </w:rPr>
                    <w:t>муниципальной программы «Развитие физической культуры и спорта в городе Пыть-Яхе»</w:t>
                  </w:r>
                  <w:r>
                    <w:rPr>
                      <w:color w:val="000000"/>
                      <w:sz w:val="28"/>
                      <w:szCs w:val="28"/>
                    </w:rPr>
                    <w:t xml:space="preserve"> расходы составили 288 174 866,44 рублей или 61,3% при плане – 470 116 782,22 рубля и направлены на развитие массовой физической культуры и спорта, спорт высших достижений, спортивной инфраструктуры, пропаганду здорового образа жизни, в том числе:</w:t>
                  </w:r>
                </w:p>
                <w:p w:rsidR="009F54AC" w:rsidRDefault="0059407B">
                  <w:pPr>
                    <w:ind w:firstLine="560"/>
                    <w:jc w:val="both"/>
                  </w:pPr>
                  <w:r>
                    <w:rPr>
                      <w:color w:val="000000"/>
                      <w:sz w:val="28"/>
                      <w:szCs w:val="28"/>
                    </w:rPr>
                    <w:t>На обеспечение муниципального задания МБУ ДО «Спортивная школа», МБУ ДО «СШОР», МАУ ДО СШ «ОЛИМП» и МАУ Аквацентр «Дельфин» по предоставлению муниципальных услуг в области физической культуры и спорта в сумме 251 296 623,66 рубля или 99,5% от плана – 252 692 503,86 рубля.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учреждениями города Пыть-Ях. </w:t>
                  </w:r>
                </w:p>
                <w:p w:rsidR="009F54AC" w:rsidRDefault="0059407B">
                  <w:pPr>
                    <w:ind w:firstLine="560"/>
                    <w:jc w:val="both"/>
                  </w:pPr>
                  <w:r>
                    <w:rPr>
                      <w:color w:val="000000"/>
                      <w:sz w:val="28"/>
                      <w:szCs w:val="28"/>
                    </w:rPr>
                    <w:t>В рамках предоставленных субсидий учреждениями произведены следующие расходы:</w:t>
                  </w:r>
                </w:p>
                <w:p w:rsidR="009F54AC" w:rsidRDefault="0059407B">
                  <w:pPr>
                    <w:ind w:firstLine="700"/>
                    <w:jc w:val="both"/>
                  </w:pPr>
                  <w:r>
                    <w:rPr>
                      <w:color w:val="000000"/>
                      <w:sz w:val="28"/>
                      <w:szCs w:val="28"/>
                    </w:rPr>
                    <w:t>-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 израсходовано 7 225 422,35 рубля, где доля софинансирования составила 361 271,12 рубль. Исполнение составило 100% от плановых назначений;</w:t>
                  </w:r>
                </w:p>
                <w:p w:rsidR="009F54AC" w:rsidRDefault="0059407B">
                  <w:pPr>
                    <w:ind w:firstLine="700"/>
                    <w:jc w:val="both"/>
                  </w:pPr>
                  <w:r>
                    <w:rPr>
                      <w:color w:val="000000"/>
                      <w:sz w:val="28"/>
                      <w:szCs w:val="28"/>
                    </w:rPr>
                    <w:t>- на обеспечение участия в официальных физкультурных (физкультурно-оздоровительных) мероприятиях расходы в сумме 2 535 648,50 рублей или 98,3% от плана. Проведено 44 городских физкультурно-оздоровительных и спортивных мероприятия (при плане 44 мероприятия);</w:t>
                  </w:r>
                </w:p>
                <w:p w:rsidR="009F54AC" w:rsidRDefault="0059407B">
                  <w:pPr>
                    <w:ind w:firstLine="700"/>
                    <w:jc w:val="both"/>
                  </w:pPr>
                  <w:r>
                    <w:rPr>
                      <w:color w:val="000000"/>
                      <w:sz w:val="28"/>
                      <w:szCs w:val="28"/>
                    </w:rPr>
                    <w:t>- в рамках Регионального проекта «Спорт-норма жизни» израсходовано 359 400,00 рублей, что составило 100% от плановых назначений. Расходы направлены на государственную поддержку спортивных организаций, осуществляющих подготовку спортивного резерва для сборных команд Российской Федерации. В рамках Всероссийского физкультурно-спортивного комплекса «Готов к труду и обороне» запланированы к проведению 8 городских и 3 выездных мероприятия физкультурно-</w:t>
                  </w:r>
                  <w:r>
                    <w:rPr>
                      <w:color w:val="000000"/>
                      <w:sz w:val="28"/>
                      <w:szCs w:val="28"/>
                    </w:rPr>
                    <w:lastRenderedPageBreak/>
                    <w:t>оздоровительной направленности.   По состоянию на 31.12.2024 проведено 11 мероприятий;</w:t>
                  </w:r>
                </w:p>
                <w:p w:rsidR="009F54AC" w:rsidRDefault="0059407B">
                  <w:pPr>
                    <w:ind w:firstLine="700"/>
                    <w:jc w:val="both"/>
                  </w:pPr>
                  <w:r>
                    <w:rPr>
                      <w:color w:val="000000"/>
                      <w:sz w:val="28"/>
                      <w:szCs w:val="28"/>
                    </w:rPr>
                    <w:t>- в рамках комплекса процессных мероприятий «Обеспечение комплексной безопасности, в том числе антитеррористической безопасности муниципальных объектов спорта» направлены расходы в сумме 15 564 848,99 рублей или 98,1% от плана. Средства направлены на оплату услуг охраны объектов; </w:t>
                  </w:r>
                </w:p>
                <w:p w:rsidR="009F54AC" w:rsidRDefault="0059407B">
                  <w:pPr>
                    <w:ind w:firstLine="700"/>
                    <w:jc w:val="both"/>
                  </w:pPr>
                  <w:r>
                    <w:rPr>
                      <w:color w:val="000000"/>
                      <w:sz w:val="28"/>
                      <w:szCs w:val="28"/>
                    </w:rPr>
                    <w:t>- произведены расходы на проведение официальных спортивных мероприятий, организацию физкультурных (физкультурно-оздоровительных) мероприятий, на сумму 5 377 660,70 рублей или 100% от плана; </w:t>
                  </w:r>
                </w:p>
                <w:p w:rsidR="009F54AC" w:rsidRDefault="0059407B">
                  <w:pPr>
                    <w:ind w:firstLine="700"/>
                    <w:jc w:val="both"/>
                  </w:pPr>
                  <w:r>
                    <w:rPr>
                      <w:color w:val="000000"/>
                      <w:sz w:val="28"/>
                      <w:szCs w:val="28"/>
                    </w:rPr>
                    <w:t>- расходы на обеспечение деятельности учреждений в области физической культуры и спорта, и расходы на обеспечение участия спортивных сборных команд в официальных спортивных мероприятиях за отчетный год составили 220 233 643,12 рубля или 99,5% от плана.</w:t>
                  </w:r>
                </w:p>
                <w:p w:rsidR="009F54AC" w:rsidRDefault="0059407B">
                  <w:pPr>
                    <w:ind w:firstLine="700"/>
                    <w:jc w:val="both"/>
                  </w:pPr>
                  <w:r>
                    <w:rPr>
                      <w:color w:val="000000"/>
                      <w:sz w:val="28"/>
                      <w:szCs w:val="28"/>
                    </w:rPr>
                    <w:t>Субсидии на иные цели бюджетным и автономным учреждениям на реализацию мероприятий муниципальной программы в сумме 7 791 201,18 рубль, или 100% плановых назначений и направлены:  </w:t>
                  </w:r>
                </w:p>
                <w:p w:rsidR="009F54AC" w:rsidRDefault="0059407B">
                  <w:pPr>
                    <w:ind w:firstLine="700"/>
                    <w:jc w:val="both"/>
                  </w:pPr>
                  <w:r>
                    <w:rPr>
                      <w:color w:val="000000"/>
                      <w:sz w:val="28"/>
                      <w:szCs w:val="28"/>
                    </w:rPr>
                    <w:t>- на обеспечение комплексной безопасности, в том числе антитеррористической безопасности муниципальных объектов спорта направлены расходы в сумме 1 625 800,00 рублей или 100% от плана;</w:t>
                  </w:r>
                </w:p>
                <w:p w:rsidR="009F54AC" w:rsidRDefault="0059407B">
                  <w:pPr>
                    <w:ind w:firstLine="700"/>
                    <w:jc w:val="both"/>
                  </w:pPr>
                  <w:r>
                    <w:rPr>
                      <w:color w:val="000000"/>
                      <w:sz w:val="28"/>
                      <w:szCs w:val="28"/>
                    </w:rPr>
                    <w:t>- в рамках Регионального проекта «Спорт-норма жизни» израсходовано 323 473,68 рубля, что составило 100% от плановых назначений. Расходы направлены на государственную поддержку спортивных организаций. осуществляющих подготовку спортивного резерва для сборных команд Российской Федерации; </w:t>
                  </w:r>
                </w:p>
                <w:p w:rsidR="009F54AC" w:rsidRDefault="0059407B">
                  <w:pPr>
                    <w:ind w:firstLine="700"/>
                    <w:jc w:val="both"/>
                  </w:pPr>
                  <w:r>
                    <w:rPr>
                      <w:color w:val="000000"/>
                      <w:sz w:val="28"/>
                      <w:szCs w:val="28"/>
                    </w:rPr>
                    <w:t>- расходы в рамках комплекса процессных мероприятий «Укрепление материально-технической базы учреждений спорта» включают в себя расходы на развитие сети спортивных объектов шаговой доступности. Исполнение составило 1 512 947,37 рублей, что составляет 100% от плановых назначений;</w:t>
                  </w:r>
                </w:p>
                <w:p w:rsidR="009F54AC" w:rsidRDefault="0059407B">
                  <w:pPr>
                    <w:ind w:firstLine="700"/>
                    <w:jc w:val="both"/>
                  </w:pPr>
                  <w:r>
                    <w:rPr>
                      <w:color w:val="000000"/>
                      <w:sz w:val="28"/>
                      <w:szCs w:val="28"/>
                    </w:rPr>
                    <w:t>- расходы на обеспечение деятельности учреждений в области физической культуры и спорта, и расходы на обеспечение участия спортивных сборных команд в официальных спортивных мероприятиях за отчетный год составили 4 328 980,13 рублей или 100% от плана. </w:t>
                  </w:r>
                </w:p>
                <w:p w:rsidR="009F54AC" w:rsidRDefault="0059407B">
                  <w:pPr>
                    <w:ind w:firstLine="700"/>
                    <w:jc w:val="both"/>
                  </w:pPr>
                  <w:r>
                    <w:rPr>
                      <w:color w:val="000000"/>
                      <w:sz w:val="28"/>
                      <w:szCs w:val="28"/>
                    </w:rPr>
                    <w:t>В рамках данной программы направлены расходы в сумме 29 087 041,60 рублей или 13,9% к плану 209 633 077,18 рублей, на выполнение работ:</w:t>
                  </w:r>
                </w:p>
                <w:p w:rsidR="009F54AC" w:rsidRDefault="0059407B">
                  <w:pPr>
                    <w:ind w:firstLine="700"/>
                    <w:jc w:val="both"/>
                  </w:pPr>
                  <w:r>
                    <w:rPr>
                      <w:color w:val="000000"/>
                      <w:sz w:val="28"/>
                      <w:szCs w:val="28"/>
                    </w:rPr>
                    <w:t>- устройство хоккейного корта, расположенного по адресу: г.Пыть-Ях, 2а мкр. «Лесников» в сумме 7 882 795,23 рублей;</w:t>
                  </w:r>
                </w:p>
                <w:p w:rsidR="009F54AC" w:rsidRDefault="0059407B">
                  <w:pPr>
                    <w:ind w:firstLine="700"/>
                    <w:jc w:val="both"/>
                  </w:pPr>
                  <w:r>
                    <w:rPr>
                      <w:color w:val="000000"/>
                      <w:sz w:val="28"/>
                      <w:szCs w:val="28"/>
                    </w:rPr>
                    <w:t>- обустройство универсальной спортивной площадки, расположенной по адресу: г. Пыть-Ях, мкр. 2 «Нефтяников», территория жилых домов № 3, 4, 5 в сумме 1 209 981,10 рубль;</w:t>
                  </w:r>
                </w:p>
                <w:p w:rsidR="009F54AC" w:rsidRDefault="0059407B">
                  <w:pPr>
                    <w:ind w:firstLine="700"/>
                    <w:jc w:val="both"/>
                  </w:pPr>
                  <w:r>
                    <w:rPr>
                      <w:color w:val="000000"/>
                      <w:sz w:val="28"/>
                      <w:szCs w:val="28"/>
                    </w:rPr>
                    <w:t>- устройство спортивной площадки, расположенной по адресу: г.Пыть-Ях, мкр. 9 «Черемушки» в сумме 6 225 640,69 рублей;</w:t>
                  </w:r>
                </w:p>
                <w:p w:rsidR="009F54AC" w:rsidRDefault="0059407B">
                  <w:pPr>
                    <w:ind w:firstLine="700"/>
                    <w:jc w:val="both"/>
                  </w:pPr>
                  <w:r>
                    <w:rPr>
                      <w:color w:val="000000"/>
                      <w:sz w:val="28"/>
                      <w:szCs w:val="28"/>
                    </w:rPr>
                    <w:t>- разработка проектно-сметной документации строительство объекта: «Физкультурно-спортивный комплекс» для единоборств по адресу: г.Пыть-Ях, мкр. 10 «Мамонтово» в сумме 7 981 783,38 рубля;</w:t>
                  </w:r>
                </w:p>
                <w:p w:rsidR="009F54AC" w:rsidRDefault="0059407B">
                  <w:pPr>
                    <w:ind w:firstLine="700"/>
                    <w:jc w:val="both"/>
                  </w:pPr>
                  <w:r>
                    <w:rPr>
                      <w:color w:val="000000"/>
                      <w:sz w:val="28"/>
                      <w:szCs w:val="28"/>
                    </w:rPr>
                    <w:lastRenderedPageBreak/>
                    <w:t>- капитальный ремонт шахматно-шашечного клуба, расположенного по адресу г.Пыть-Ях, мкр.1 «Центральный», дом 9, помещение 108в сумме 466 555,17 рублей или 100% от плана;   </w:t>
                  </w:r>
                </w:p>
                <w:p w:rsidR="009F54AC" w:rsidRDefault="0059407B">
                  <w:pPr>
                    <w:ind w:firstLine="700"/>
                    <w:jc w:val="both"/>
                  </w:pPr>
                  <w:r>
                    <w:rPr>
                      <w:color w:val="000000"/>
                      <w:sz w:val="28"/>
                      <w:szCs w:val="28"/>
                    </w:rPr>
                    <w:t>- разработка проектной, сметной документации на обустройство лыжной трассы г.Пыть-Ях на сумму 598 000,00 рублей исполнение составило 100% от плановых показателей;</w:t>
                  </w:r>
                </w:p>
                <w:p w:rsidR="009F54AC" w:rsidRDefault="0059407B">
                  <w:pPr>
                    <w:ind w:firstLine="700"/>
                    <w:jc w:val="both"/>
                  </w:pPr>
                  <w:r>
                    <w:rPr>
                      <w:color w:val="000000"/>
                      <w:sz w:val="28"/>
                      <w:szCs w:val="28"/>
                    </w:rPr>
                    <w:t>-  выполнение работ по ремонту здания «Модульная лыжная база с комплектом спортивного оборудования и инвентаря в городе Пыть-Ях» расположенного по адресу: г.Пыть-Ях, мкр. 8 «Горка», ул. Православная, 3 в сумме 4 722 286,03 рублей или 100% от плана.</w:t>
                  </w:r>
                </w:p>
                <w:p w:rsidR="009F54AC" w:rsidRDefault="0059407B">
                  <w:pPr>
                    <w:ind w:firstLine="700"/>
                    <w:jc w:val="both"/>
                  </w:pPr>
                  <w:r>
                    <w:rPr>
                      <w:color w:val="000000"/>
                      <w:sz w:val="28"/>
                      <w:szCs w:val="28"/>
                    </w:rPr>
                    <w:t>Низкий процент исполнения по мероприятию «Строительство и реконструкция объектов муниципальной собственности» (не исполнены плановые назначения в сумме 180 342 909,31 рублей, средства ООО «РН-Юганскнефтегаз») связан с тем, что объект «Физкультурно-спортивного комплекса» для единоборств по адресу: г. Пыть-Ях, микрорайон 10 Мамонтово» включен в Региональный проект, направленный на достижение целей социально-экономического развития Ханты-Мансийского автономного округа – Югры по  государственной программе  "Строительство" на 2025-2027 годах для последующей реализации ( на 2025 год в сумме -214 511,4 тыс. рублей на 2026 год - 92 090,5 тыс. рублей). Срок освоения 2026 год.</w:t>
                  </w:r>
                </w:p>
                <w:p w:rsidR="009F54AC" w:rsidRDefault="0059407B">
                  <w:pPr>
                    <w:ind w:firstLine="700"/>
                    <w:jc w:val="both"/>
                  </w:pPr>
                  <w:r>
                    <w:rPr>
                      <w:color w:val="000000"/>
                      <w:sz w:val="28"/>
                      <w:szCs w:val="28"/>
                    </w:rPr>
                    <w:t>В результате исполнения доведенных объемов бюджетных ассигнований, по указанным направлениям, достигнуты следующие основные показатели:</w:t>
                  </w:r>
                </w:p>
                <w:p w:rsidR="009F54AC" w:rsidRDefault="0059407B">
                  <w:pPr>
                    <w:ind w:firstLine="700"/>
                    <w:jc w:val="both"/>
                  </w:pPr>
                  <w:r>
                    <w:rPr>
                      <w:color w:val="000000"/>
                      <w:sz w:val="28"/>
                      <w:szCs w:val="28"/>
                    </w:rPr>
                    <w:t>- Доля населения, систематически занимающегося физической культурой и спортом, в общей численности населения – значение показателя составляет 100% от утвержденного плана (67%);</w:t>
                  </w:r>
                </w:p>
                <w:p w:rsidR="009F54AC" w:rsidRDefault="0059407B">
                  <w:pPr>
                    <w:ind w:firstLine="700"/>
                    <w:jc w:val="both"/>
                  </w:pPr>
                  <w:r>
                    <w:rPr>
                      <w:color w:val="000000"/>
                      <w:sz w:val="28"/>
                      <w:szCs w:val="28"/>
                    </w:rPr>
                    <w:t>- Уровень обеспеченности населения спортивными сооружениями исходя из единовременной пропускной способности объектов спорта – значение показателя составляет 98,8% от утвержденного плана достижения показателей муниципальной программы (59%).</w:t>
                  </w:r>
                </w:p>
                <w:p w:rsidR="009F54AC" w:rsidRDefault="0059407B">
                  <w:pPr>
                    <w:jc w:val="both"/>
                  </w:pPr>
                  <w:r>
                    <w:rPr>
                      <w:b/>
                      <w:bCs/>
                      <w:color w:val="000000"/>
                      <w:sz w:val="28"/>
                      <w:szCs w:val="28"/>
                    </w:rPr>
                    <w:t>            Раздел 12 00 «Средства массовой информации»</w:t>
                  </w:r>
                </w:p>
                <w:p w:rsidR="009F54AC" w:rsidRDefault="0059407B">
                  <w:pPr>
                    <w:ind w:firstLine="700"/>
                    <w:jc w:val="both"/>
                  </w:pPr>
                  <w:r>
                    <w:rPr>
                      <w:color w:val="000000"/>
                      <w:sz w:val="28"/>
                      <w:szCs w:val="28"/>
                    </w:rPr>
                    <w:t>Бюджетные ассигнования по разделу на 2024 год утверждены в сумме 40 619 237,00 рублей. Исполнение за текущий год составило 39 909 872,30 рубля или 98,3% от плановых назначений.</w:t>
                  </w:r>
                </w:p>
                <w:p w:rsidR="009F54AC" w:rsidRDefault="0059407B">
                  <w:pPr>
                    <w:ind w:firstLine="700"/>
                    <w:jc w:val="both"/>
                  </w:pPr>
                  <w:r>
                    <w:rPr>
                      <w:color w:val="000000"/>
                      <w:sz w:val="28"/>
                      <w:szCs w:val="28"/>
                    </w:rPr>
                    <w:t>Данные расходы направлены на реализацию мероприятий муниципальной программы «Развитие гражданского общества в городе Пыть-Яхе» и направлены на финансовое обеспечение выполнения муниципального задания на оказание муниципальных услуг МАУ «ТРК Пыть-Яхинформ»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w:t>
                  </w:r>
                </w:p>
                <w:p w:rsidR="009F54AC" w:rsidRDefault="0059407B">
                  <w:pPr>
                    <w:ind w:firstLine="700"/>
                    <w:jc w:val="both"/>
                  </w:pPr>
                  <w:r>
                    <w:rPr>
                      <w:color w:val="000000"/>
                      <w:sz w:val="28"/>
                      <w:szCs w:val="28"/>
                    </w:rPr>
                    <w:t> За счет выделенных средств из городского бюджета издан 51 номер общественно-политического еженедельника «Новая Северная газета», подготовлено и выдано в эфир информационных материалов в количестве 87,2 часа, радиопрограмм на 1 838 минут. </w:t>
                  </w:r>
                </w:p>
                <w:p w:rsidR="009F54AC" w:rsidRDefault="0059407B">
                  <w:pPr>
                    <w:ind w:firstLine="700"/>
                    <w:jc w:val="both"/>
                  </w:pPr>
                  <w:r>
                    <w:rPr>
                      <w:b/>
                      <w:bCs/>
                      <w:color w:val="000000"/>
                      <w:sz w:val="28"/>
                      <w:szCs w:val="28"/>
                    </w:rPr>
                    <w:t>Раздел 13 00 «Обслуживание государственного и муниципального долга»</w:t>
                  </w:r>
                </w:p>
                <w:p w:rsidR="009F54AC" w:rsidRDefault="0059407B">
                  <w:pPr>
                    <w:ind w:firstLine="700"/>
                    <w:jc w:val="both"/>
                  </w:pPr>
                  <w:r>
                    <w:rPr>
                      <w:color w:val="000000"/>
                      <w:sz w:val="28"/>
                      <w:szCs w:val="28"/>
                    </w:rPr>
                    <w:lastRenderedPageBreak/>
                    <w:t>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в сумме 1 362 300,00 рублей, исполнение составило 293 135,20 рублей или 21,5% к плану, в том числе: по муниципальному контракту № 0187300019422000148 от 17.10.2022 года с ПАО "Совкомбанк" -  221 011,67 рублей, по договору бюджетного кредита № 6/02-23 от 01.09.2023 в сумме 72 123,53 рублей.</w:t>
                  </w:r>
                </w:p>
                <w:p w:rsidR="009F54AC" w:rsidRDefault="0059407B">
                  <w:pPr>
                    <w:ind w:firstLine="700"/>
                    <w:jc w:val="both"/>
                  </w:pPr>
                  <w:r>
                    <w:rPr>
                      <w:color w:val="000000"/>
                      <w:sz w:val="28"/>
                      <w:szCs w:val="28"/>
                    </w:rPr>
                    <w:t>Кассовое исполнение мероприятий в соответствии с принятыми обязательствами.    </w:t>
                  </w:r>
                </w:p>
              </w:tc>
            </w:tr>
          </w:tbl>
          <w:p w:rsidR="009F54AC" w:rsidRDefault="0059407B">
            <w:pPr>
              <w:jc w:val="both"/>
              <w:rPr>
                <w:color w:val="000000"/>
                <w:sz w:val="28"/>
                <w:szCs w:val="28"/>
              </w:rPr>
            </w:pPr>
            <w:r>
              <w:rPr>
                <w:color w:val="000000"/>
                <w:sz w:val="28"/>
                <w:szCs w:val="28"/>
              </w:rPr>
              <w:lastRenderedPageBreak/>
              <w:t xml:space="preserve"> </w:t>
            </w:r>
          </w:p>
        </w:tc>
      </w:tr>
      <w:tr w:rsidR="009F54AC">
        <w:trPr>
          <w:trHeight w:val="322"/>
        </w:trPr>
        <w:tc>
          <w:tcPr>
            <w:tcW w:w="10314" w:type="dxa"/>
            <w:gridSpan w:val="7"/>
            <w:vMerge w:val="restart"/>
            <w:tcMar>
              <w:top w:w="0" w:type="dxa"/>
              <w:left w:w="0" w:type="dxa"/>
              <w:bottom w:w="0" w:type="dxa"/>
              <w:right w:w="0" w:type="dxa"/>
            </w:tcMar>
          </w:tcPr>
          <w:p w:rsidR="009F54AC" w:rsidRDefault="0059407B">
            <w:pPr>
              <w:jc w:val="center"/>
              <w:rPr>
                <w:b/>
                <w:bCs/>
                <w:color w:val="000000"/>
                <w:sz w:val="28"/>
                <w:szCs w:val="28"/>
              </w:rPr>
            </w:pPr>
            <w:r>
              <w:rPr>
                <w:b/>
                <w:bCs/>
                <w:color w:val="000000"/>
                <w:sz w:val="28"/>
                <w:szCs w:val="28"/>
              </w:rPr>
              <w:lastRenderedPageBreak/>
              <w:t>Раздел 4 «Анализ показателей бухгалтерской отчетности субъекта бюджетной отчетности»</w:t>
            </w:r>
          </w:p>
          <w:p w:rsidR="009F54AC" w:rsidRDefault="0059407B">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9F54AC">
              <w:tc>
                <w:tcPr>
                  <w:tcW w:w="10314" w:type="dxa"/>
                  <w:tcMar>
                    <w:top w:w="0" w:type="dxa"/>
                    <w:left w:w="0" w:type="dxa"/>
                    <w:bottom w:w="0" w:type="dxa"/>
                    <w:right w:w="0" w:type="dxa"/>
                  </w:tcMar>
                </w:tcPr>
                <w:p w:rsidR="009F54AC" w:rsidRDefault="0059407B">
                  <w:pPr>
                    <w:jc w:val="both"/>
                  </w:pPr>
                  <w:r>
                    <w:rPr>
                      <w:b/>
                      <w:bCs/>
                      <w:color w:val="000000"/>
                      <w:sz w:val="28"/>
                      <w:szCs w:val="28"/>
                    </w:rPr>
                    <w:t>Раздел 4. Анализ показателей финансовой отчетности субъекта бюджетной отчетности:</w:t>
                  </w:r>
                </w:p>
                <w:p w:rsidR="009F54AC" w:rsidRDefault="0059407B">
                  <w:pPr>
                    <w:jc w:val="both"/>
                  </w:pPr>
                  <w:r>
                    <w:rPr>
                      <w:b/>
                      <w:bCs/>
                      <w:i/>
                      <w:iCs/>
                      <w:color w:val="000000"/>
                      <w:sz w:val="28"/>
                      <w:szCs w:val="28"/>
                    </w:rPr>
                    <w:t>Баланс исполнения консолидированного бюджета (0503320)</w:t>
                  </w:r>
                </w:p>
                <w:p w:rsidR="009F54AC" w:rsidRDefault="0059407B">
                  <w:pPr>
                    <w:ind w:firstLine="700"/>
                    <w:jc w:val="both"/>
                  </w:pPr>
                  <w:r>
                    <w:rPr>
                      <w:i/>
                      <w:iCs/>
                      <w:color w:val="000000"/>
                      <w:sz w:val="28"/>
                      <w:szCs w:val="28"/>
                    </w:rPr>
                    <w:t>В соответствии с </w:t>
                  </w:r>
                  <w:r>
                    <w:rPr>
                      <w:i/>
                      <w:iCs/>
                      <w:color w:val="000000"/>
                      <w:sz w:val="28"/>
                      <w:szCs w:val="28"/>
                      <w:shd w:val="clear" w:color="auto" w:fill="FFFFFF"/>
                    </w:rPr>
                    <w:t>Федеральным стандартом бухгалтерского учета для организаций государственного сектора об исправлении ошибок в бухгалтерской (финансовой) отчетности, утвержденного Приказом Минфина РФ от 30.12.2017 № 274н,  </w:t>
                  </w:r>
                  <w:r>
                    <w:rPr>
                      <w:color w:val="000000"/>
                      <w:sz w:val="28"/>
                      <w:szCs w:val="28"/>
                    </w:rPr>
                    <w:t>внесены изменения в остатки валюты баланса по состоянию на 01.01.2024 года;</w:t>
                  </w:r>
                </w:p>
                <w:p w:rsidR="009F54AC" w:rsidRDefault="0059407B">
                  <w:pPr>
                    <w:ind w:firstLine="700"/>
                    <w:jc w:val="both"/>
                  </w:pPr>
                  <w:r>
                    <w:rPr>
                      <w:color w:val="000000"/>
                      <w:sz w:val="28"/>
                      <w:szCs w:val="28"/>
                    </w:rPr>
                    <w:t xml:space="preserve"> - </w:t>
                  </w:r>
                  <w:r>
                    <w:rPr>
                      <w:b/>
                      <w:bCs/>
                      <w:color w:val="000000"/>
                      <w:sz w:val="28"/>
                      <w:szCs w:val="28"/>
                    </w:rPr>
                    <w:t>стр. 070 счет 010300000 «Непроизведенные активы» в сумме 305 200 337,85 руб. из них:</w:t>
                  </w:r>
                </w:p>
                <w:p w:rsidR="009F54AC" w:rsidRDefault="0059407B">
                  <w:pPr>
                    <w:ind w:firstLine="700"/>
                    <w:jc w:val="both"/>
                  </w:pPr>
                  <w:r>
                    <w:rPr>
                      <w:b/>
                      <w:bCs/>
                      <w:color w:val="000000"/>
                      <w:sz w:val="28"/>
                      <w:szCs w:val="28"/>
                    </w:rPr>
                    <w:t>484 473 271,51руб. (</w:t>
                  </w:r>
                  <w:r>
                    <w:rPr>
                      <w:color w:val="000000"/>
                      <w:sz w:val="28"/>
                      <w:szCs w:val="28"/>
                    </w:rPr>
                    <w:t>счет 1.103.11</w:t>
                  </w:r>
                  <w:r>
                    <w:rPr>
                      <w:color w:val="333333"/>
                      <w:sz w:val="28"/>
                      <w:szCs w:val="28"/>
                      <w:shd w:val="clear" w:color="auto" w:fill="FFFFFF"/>
                    </w:rPr>
                    <w:t> «Земля»</w:t>
                  </w:r>
                  <w:r>
                    <w:rPr>
                      <w:b/>
                      <w:bCs/>
                      <w:color w:val="000000"/>
                      <w:sz w:val="28"/>
                      <w:szCs w:val="28"/>
                    </w:rPr>
                    <w:t>) </w:t>
                  </w:r>
                  <w:r>
                    <w:rPr>
                      <w:color w:val="000000"/>
                      <w:sz w:val="28"/>
                      <w:szCs w:val="28"/>
                    </w:rPr>
                    <w:t>приняты к учету земельные участки, полученные в постоянное бессрочное пользование  МКУ Администрацей до 2017 года, выявленные при сверке с ИФНС в 2024 году</w:t>
                  </w:r>
                </w:p>
                <w:p w:rsidR="009F54AC" w:rsidRDefault="0059407B">
                  <w:pPr>
                    <w:ind w:firstLine="700"/>
                    <w:jc w:val="both"/>
                  </w:pPr>
                  <w:r>
                    <w:rPr>
                      <w:color w:val="000000"/>
                      <w:sz w:val="28"/>
                      <w:szCs w:val="28"/>
                    </w:rPr>
                    <w:t>-179 272 933,66 руб. (счет 1.103.13</w:t>
                  </w:r>
                  <w:r>
                    <w:rPr>
                      <w:color w:val="333333"/>
                      <w:sz w:val="28"/>
                      <w:szCs w:val="28"/>
                      <w:shd w:val="clear" w:color="auto" w:fill="FFFFFF"/>
                    </w:rPr>
                    <w:t> «Прочие непроизведенные активы»</w:t>
                  </w:r>
                  <w:r>
                    <w:rPr>
                      <w:color w:val="000000"/>
                      <w:sz w:val="28"/>
                      <w:szCs w:val="28"/>
                    </w:rPr>
                    <w:t>) уменьшена стоимость земельных участков, отраженных в составе имущества казны.</w:t>
                  </w:r>
                </w:p>
                <w:p w:rsidR="009F54AC" w:rsidRDefault="0059407B">
                  <w:pPr>
                    <w:ind w:firstLine="700"/>
                    <w:jc w:val="both"/>
                  </w:pPr>
                  <w:r>
                    <w:rPr>
                      <w:b/>
                      <w:bCs/>
                      <w:color w:val="000000"/>
                      <w:sz w:val="28"/>
                      <w:szCs w:val="28"/>
                    </w:rPr>
                    <w:t> - стр.120 счет 010600000 «Вложения в нефинансовые активы» в сумме 2 871 590,53 руб. </w:t>
                  </w:r>
                  <w:r>
                    <w:rPr>
                      <w:color w:val="000000"/>
                      <w:sz w:val="28"/>
                      <w:szCs w:val="28"/>
                    </w:rPr>
                    <w:t>восстановлены в учете вложения в объекты основных средств ранее списанные на расходы учреждения (расходы на благоустройство территорий в сумме 2 371 590,53 руб., и работы по выполнению проектно-сметной документации в сумме 500 000,00 руб.)</w:t>
                  </w:r>
                </w:p>
                <w:p w:rsidR="009F54AC" w:rsidRDefault="0059407B">
                  <w:pPr>
                    <w:jc w:val="both"/>
                  </w:pPr>
                  <w:r>
                    <w:rPr>
                      <w:color w:val="000000"/>
                      <w:sz w:val="28"/>
                      <w:szCs w:val="28"/>
                    </w:rPr>
                    <w:t>            -</w:t>
                  </w:r>
                  <w:r>
                    <w:rPr>
                      <w:b/>
                      <w:bCs/>
                      <w:color w:val="000000"/>
                      <w:sz w:val="28"/>
                      <w:szCs w:val="28"/>
                    </w:rPr>
                    <w:t>стр.140 счет 010800000 «Нефинансовые активы имущества казны (остаточная стоимость» в сумме -6 637 958,22 руб. из них:</w:t>
                  </w:r>
                </w:p>
                <w:p w:rsidR="009F54AC" w:rsidRDefault="0059407B">
                  <w:pPr>
                    <w:jc w:val="both"/>
                  </w:pPr>
                  <w:r>
                    <w:rPr>
                      <w:color w:val="000000"/>
                      <w:sz w:val="28"/>
                      <w:szCs w:val="28"/>
                    </w:rPr>
                    <w:t>-Амортизация недвижимого(010451000) и движимого имущества (010452000) в составе имущества казны в сумме 1 035 508,38 руб. исправление ошибок прошлых лет в связи с несвоевременным предоставлением документов о передаче и получении недвижимого имущества;</w:t>
                  </w:r>
                </w:p>
                <w:p w:rsidR="009F54AC" w:rsidRDefault="0059407B">
                  <w:pPr>
                    <w:jc w:val="both"/>
                  </w:pPr>
                  <w:r>
                    <w:rPr>
                      <w:color w:val="000000"/>
                      <w:sz w:val="28"/>
                      <w:szCs w:val="28"/>
                    </w:rPr>
                    <w:t xml:space="preserve">-Недвижимое имущество в составе имущества казны (010851000) в сумме 8 119 129,43 руб. исправление ошибок по приведению в соответствие видов имущества с аналитическими группами учета имущества казны (переведены со счета 108.52). В </w:t>
                  </w:r>
                  <w:r>
                    <w:rPr>
                      <w:color w:val="000000"/>
                      <w:sz w:val="28"/>
                      <w:szCs w:val="28"/>
                    </w:rPr>
                    <w:lastRenderedPageBreak/>
                    <w:t>связи с несвоевременным представлением документов через ошибки прошлых лет списано недвижимое имущество казны (квартиры,</w:t>
                  </w:r>
                </w:p>
                <w:p w:rsidR="009F54AC" w:rsidRDefault="0059407B">
                  <w:pPr>
                    <w:jc w:val="both"/>
                  </w:pPr>
                  <w:r>
                    <w:rPr>
                      <w:color w:val="000000"/>
                      <w:sz w:val="28"/>
                      <w:szCs w:val="28"/>
                    </w:rPr>
                    <w:t>Движимое имущество в составе имущества казны (010852000) в сумме (-21 948 948,65 руб. исправление ошибок прошлых лет по приведению в соответствие видов имущества с аналитическими группами учета имущества казны (переведены на счет 108.51)</w:t>
                  </w:r>
                </w:p>
                <w:p w:rsidR="009F54AC" w:rsidRDefault="0059407B">
                  <w:pPr>
                    <w:jc w:val="both"/>
                  </w:pPr>
                  <w:r>
                    <w:rPr>
                      <w:color w:val="000000"/>
                      <w:sz w:val="28"/>
                      <w:szCs w:val="28"/>
                    </w:rPr>
                    <w:t>Непроизведенные активы в составе имущества казны (010855000) в сумме 6 156 352,62 руб. исправление ошибок в связи несвоевременным представлением документов о принятии в казну земельные участки (для коммунального обслуживания).</w:t>
                  </w:r>
                </w:p>
                <w:p w:rsidR="009F54AC" w:rsidRDefault="0059407B">
                  <w:pPr>
                    <w:jc w:val="both"/>
                  </w:pPr>
                  <w:r>
                    <w:rPr>
                      <w:color w:val="000000"/>
                      <w:sz w:val="28"/>
                      <w:szCs w:val="28"/>
                    </w:rPr>
                    <w:t>Изменение валюты баланса на 01.01.2024 года по дебиторской и кредиторской задолженности отражено и описано в таблице «</w:t>
                  </w:r>
                  <w:r>
                    <w:rPr>
                      <w:b/>
                      <w:bCs/>
                      <w:i/>
                      <w:iCs/>
                      <w:color w:val="000000"/>
                      <w:sz w:val="28"/>
                      <w:szCs w:val="28"/>
                    </w:rPr>
                    <w:t>Расшифровка строк формы 0503320 в соответствии с формой 0503373».</w:t>
                  </w:r>
                </w:p>
                <w:p w:rsidR="009F54AC" w:rsidRDefault="0059407B">
                  <w:pPr>
                    <w:ind w:firstLine="700"/>
                    <w:jc w:val="both"/>
                  </w:pPr>
                  <w:r>
                    <w:rPr>
                      <w:color w:val="000000"/>
                      <w:sz w:val="28"/>
                      <w:szCs w:val="28"/>
                    </w:rPr>
                    <w:t xml:space="preserve">- </w:t>
                  </w:r>
                  <w:r>
                    <w:rPr>
                      <w:b/>
                      <w:bCs/>
                      <w:color w:val="000000"/>
                      <w:sz w:val="28"/>
                      <w:szCs w:val="28"/>
                    </w:rPr>
                    <w:t>стр.250 «Дебиторская задолженность по доходам (020500000,020900000) корректировка счета 020500000 в сумме 21 681 315,41 руб. в том числе долгосрочная задолженность (стр.251) 10 204 923,01 руб. из них</w:t>
                  </w:r>
                  <w:r>
                    <w:rPr>
                      <w:color w:val="000000"/>
                      <w:sz w:val="28"/>
                      <w:szCs w:val="28"/>
                    </w:rPr>
                    <w:t>:</w:t>
                  </w:r>
                </w:p>
                <w:p w:rsidR="009F54AC" w:rsidRDefault="0059407B">
                  <w:pPr>
                    <w:ind w:firstLine="700"/>
                    <w:jc w:val="both"/>
                  </w:pPr>
                  <w:r>
                    <w:rPr>
                      <w:color w:val="000000"/>
                      <w:sz w:val="28"/>
                      <w:szCs w:val="28"/>
                    </w:rPr>
                    <w:t> в связи с поздним предоставлением договоров купли – продажи квартир до начислены доходы по счету 205.71 в сумме 2 851 025,00 руб.;</w:t>
                  </w:r>
                </w:p>
                <w:p w:rsidR="009F54AC" w:rsidRDefault="0059407B">
                  <w:pPr>
                    <w:ind w:firstLine="700"/>
                    <w:jc w:val="both"/>
                  </w:pPr>
                  <w:r>
                    <w:rPr>
                      <w:color w:val="000000"/>
                      <w:sz w:val="28"/>
                      <w:szCs w:val="28"/>
                    </w:rPr>
                    <w:t>в связи с поступлением в 2024 году денежных средств от контрагента в сумме 1245,12 руб. дебиторская задолженность со счета 209.36 перенесена на счет 206.23;</w:t>
                  </w:r>
                </w:p>
                <w:p w:rsidR="009F54AC" w:rsidRDefault="0059407B">
                  <w:pPr>
                    <w:ind w:firstLine="700"/>
                    <w:jc w:val="both"/>
                  </w:pPr>
                  <w:r>
                    <w:rPr>
                      <w:color w:val="000000"/>
                      <w:sz w:val="28"/>
                      <w:szCs w:val="28"/>
                    </w:rPr>
                    <w:t>по результатам проверки Счетно-контрольной палаты г.Пыть-Яха начислены доходы в сумме 18 831 535,53 руб. (в том числе долгосрочная задолженность 10 204 923,01 руб.) по договорам аренды земельных участков, государственная собственность на которые не разграничена через ошибки прошлых лет;</w:t>
                  </w:r>
                </w:p>
                <w:p w:rsidR="009F54AC" w:rsidRDefault="0059407B">
                  <w:pPr>
                    <w:jc w:val="both"/>
                  </w:pPr>
                  <w:r>
                    <w:rPr>
                      <w:b/>
                      <w:bCs/>
                      <w:color w:val="000000"/>
                      <w:sz w:val="28"/>
                      <w:szCs w:val="28"/>
                    </w:rPr>
                    <w:t>-стр. 260 «Дебиторская задолженность по выплатам (020600000,020800000,030300000</w:t>
                  </w:r>
                  <w:r>
                    <w:rPr>
                      <w:color w:val="000000"/>
                      <w:sz w:val="28"/>
                      <w:szCs w:val="28"/>
                    </w:rPr>
                    <w:t xml:space="preserve">) в связи с поступлением в 2024 году денежных средств от контрагента в сумме 1245,12 руб. дебиторская задолженность со счета 209.36 перенесена на счет 206.23 (код причины 03.4); приняты к учету документы, несвоевременно поступившие в централизованную бухгалтерию в сумме </w:t>
                  </w:r>
                  <w:r>
                    <w:rPr>
                      <w:b/>
                      <w:bCs/>
                      <w:color w:val="000000"/>
                      <w:sz w:val="28"/>
                      <w:szCs w:val="28"/>
                    </w:rPr>
                    <w:t>571 559,85</w:t>
                  </w:r>
                  <w:r>
                    <w:rPr>
                      <w:color w:val="000000"/>
                      <w:sz w:val="28"/>
                      <w:szCs w:val="28"/>
                    </w:rPr>
                    <w:t xml:space="preserve"> рублей (код причины 03.1).</w:t>
                  </w:r>
                </w:p>
                <w:p w:rsidR="009F54AC" w:rsidRDefault="0059407B">
                  <w:pPr>
                    <w:ind w:firstLine="700"/>
                    <w:jc w:val="both"/>
                  </w:pPr>
                  <w:r>
                    <w:rPr>
                      <w:b/>
                      <w:bCs/>
                      <w:color w:val="000000"/>
                      <w:sz w:val="28"/>
                      <w:szCs w:val="28"/>
                    </w:rPr>
                    <w:t>-стр.410 Кредиторская задолженность по выплатам (030200000,03040200000,03040300000) </w:t>
                  </w:r>
                  <w:r>
                    <w:rPr>
                      <w:color w:val="000000"/>
                      <w:sz w:val="28"/>
                      <w:szCs w:val="28"/>
                    </w:rPr>
                    <w:t xml:space="preserve">отражена кредиторская задолженность по первичным документам, поступившим за оказанные услуги в 2024 году после сдачи годовой отчетности в сумме </w:t>
                  </w:r>
                  <w:r>
                    <w:rPr>
                      <w:b/>
                      <w:bCs/>
                      <w:color w:val="000000"/>
                      <w:sz w:val="28"/>
                      <w:szCs w:val="28"/>
                    </w:rPr>
                    <w:t>541 266,76</w:t>
                  </w:r>
                  <w:r>
                    <w:rPr>
                      <w:color w:val="000000"/>
                      <w:sz w:val="28"/>
                      <w:szCs w:val="28"/>
                    </w:rPr>
                    <w:t xml:space="preserve"> руб.</w:t>
                  </w:r>
                </w:p>
                <w:p w:rsidR="009F54AC" w:rsidRDefault="0059407B">
                  <w:pPr>
                    <w:ind w:firstLine="700"/>
                    <w:jc w:val="both"/>
                  </w:pPr>
                  <w:r>
                    <w:rPr>
                      <w:b/>
                      <w:bCs/>
                      <w:color w:val="000000"/>
                      <w:sz w:val="28"/>
                      <w:szCs w:val="28"/>
                    </w:rPr>
                    <w:t>-стр.510 «Доходы будущих периодов (040140000)» в сумме </w:t>
                  </w:r>
                  <w:r>
                    <w:rPr>
                      <w:color w:val="000000"/>
                      <w:sz w:val="28"/>
                      <w:szCs w:val="28"/>
                    </w:rPr>
                    <w:t>147 876 413,66 руб. из них: через ошибки прошлых лет отражены доходы будущих периодов по договорам купли продажи квартир в сумме 129 044 878,13 руб., </w:t>
                  </w:r>
                </w:p>
                <w:p w:rsidR="009F54AC" w:rsidRDefault="0059407B">
                  <w:pPr>
                    <w:ind w:firstLine="700"/>
                    <w:jc w:val="both"/>
                  </w:pPr>
                  <w:r>
                    <w:rPr>
                      <w:color w:val="000000"/>
                      <w:sz w:val="28"/>
                      <w:szCs w:val="28"/>
                    </w:rPr>
                    <w:t>по результатам проверки Счетно-контрольной палаты г.Пыть-Яха начислены доходы в сумме 18 831 535,53 руб. по договорам аренды земельных участков, государственная собственность на которые не разграничена</w:t>
                  </w:r>
                </w:p>
                <w:p w:rsidR="009F54AC" w:rsidRDefault="0059407B">
                  <w:pPr>
                    <w:ind w:firstLine="700"/>
                    <w:jc w:val="both"/>
                  </w:pPr>
                  <w:r>
                    <w:rPr>
                      <w:color w:val="000000"/>
                      <w:sz w:val="28"/>
                      <w:szCs w:val="28"/>
                    </w:rPr>
                    <w:t xml:space="preserve">Изменение по забалансовому счету </w:t>
                  </w:r>
                  <w:r>
                    <w:rPr>
                      <w:b/>
                      <w:bCs/>
                      <w:color w:val="000000"/>
                      <w:sz w:val="28"/>
                      <w:szCs w:val="28"/>
                    </w:rPr>
                    <w:t>25 Имущество, переданное в возмездное пользование аренду </w:t>
                  </w:r>
                  <w:r>
                    <w:rPr>
                      <w:color w:val="000000"/>
                      <w:sz w:val="28"/>
                      <w:szCs w:val="28"/>
                    </w:rPr>
                    <w:t>по результатам проверки Счетно-контрольной палаты г.Пыть-Яха отражена стоимость земельных участков, переданных в аренду в сумме 23 262 378,55 руб. </w:t>
                  </w:r>
                </w:p>
                <w:p w:rsidR="009F54AC" w:rsidRDefault="0059407B">
                  <w:pPr>
                    <w:ind w:firstLine="700"/>
                    <w:jc w:val="both"/>
                  </w:pPr>
                  <w:r>
                    <w:rPr>
                      <w:b/>
                      <w:bCs/>
                      <w:i/>
                      <w:iCs/>
                      <w:color w:val="000000"/>
                      <w:sz w:val="28"/>
                      <w:szCs w:val="28"/>
                    </w:rPr>
                    <w:lastRenderedPageBreak/>
                    <w:t>Всего в балансе отражено;</w:t>
                  </w:r>
                </w:p>
                <w:p w:rsidR="009F54AC" w:rsidRDefault="0059407B">
                  <w:pPr>
                    <w:ind w:firstLine="700"/>
                    <w:jc w:val="both"/>
                  </w:pPr>
                  <w:r>
                    <w:rPr>
                      <w:i/>
                      <w:iCs/>
                      <w:color w:val="000000"/>
                      <w:sz w:val="28"/>
                      <w:szCs w:val="28"/>
                    </w:rPr>
                    <w:t>-Нефинансовых активов по стр.190</w:t>
                  </w:r>
                </w:p>
                <w:p w:rsidR="009F54AC" w:rsidRDefault="0059407B">
                  <w:pPr>
                    <w:ind w:firstLine="700"/>
                    <w:jc w:val="both"/>
                  </w:pPr>
                  <w:r>
                    <w:rPr>
                      <w:color w:val="000000"/>
                      <w:sz w:val="28"/>
                      <w:szCs w:val="28"/>
                    </w:rPr>
                    <w:t>на 01.01.2024 год 13 296 548 148 ,27 рублей на 01.01.2025 год 13 746 614 208,82 рублей, в том числе внеоборотные активы 111 142 748,41 рублей, показатель увеличился в связи увеличением вложений в объекты незавершенного строительства. </w:t>
                  </w:r>
                </w:p>
                <w:p w:rsidR="009F54AC" w:rsidRDefault="0059407B">
                  <w:pPr>
                    <w:ind w:firstLine="700"/>
                    <w:jc w:val="both"/>
                  </w:pPr>
                  <w:r>
                    <w:rPr>
                      <w:i/>
                      <w:iCs/>
                      <w:color w:val="000000"/>
                      <w:sz w:val="28"/>
                      <w:szCs w:val="28"/>
                    </w:rPr>
                    <w:t>-Финансовые активы по стр.340</w:t>
                  </w:r>
                </w:p>
                <w:p w:rsidR="009F54AC" w:rsidRDefault="0059407B">
                  <w:pPr>
                    <w:ind w:firstLine="700"/>
                    <w:jc w:val="both"/>
                  </w:pPr>
                  <w:r>
                    <w:rPr>
                      <w:color w:val="000000"/>
                      <w:sz w:val="28"/>
                      <w:szCs w:val="28"/>
                    </w:rPr>
                    <w:t>На 01.01.2024 на сумму 18 860 409 078,26 руб. на 01.01.2025 года 20 853 856 909,81 рублей, в том числе долгосрочные активы в сумму 11 301 387 885,50 рублей (дебиторская задолженность по счету 1.205.00.000 по договорам аренды, и начисленным доходам поступающих по межбюджетным трансфертам на 3-х летний период, права пользования нематериальными активами по счету 1.111.00.000, финансовые вложения по счету 1.204.33.000.)</w:t>
                  </w:r>
                </w:p>
                <w:p w:rsidR="009F54AC" w:rsidRDefault="0059407B">
                  <w:pPr>
                    <w:ind w:firstLine="700"/>
                    <w:jc w:val="both"/>
                  </w:pPr>
                  <w:r>
                    <w:rPr>
                      <w:color w:val="000000"/>
                      <w:sz w:val="28"/>
                      <w:szCs w:val="28"/>
                    </w:rPr>
                    <w:t>Остаток денежных средств на счетах бюджета по состоянию на 01.01.2025 года составил 290 652 763,45 рублей, остатка межбюджетных трансфертов из бюджета автономного округа – Югра - нет.</w:t>
                  </w:r>
                </w:p>
                <w:p w:rsidR="009F54AC" w:rsidRDefault="0059407B">
                  <w:pPr>
                    <w:ind w:firstLine="700"/>
                    <w:jc w:val="both"/>
                  </w:pPr>
                  <w:r>
                    <w:rPr>
                      <w:color w:val="000000"/>
                      <w:sz w:val="28"/>
                      <w:szCs w:val="28"/>
                    </w:rPr>
                    <w:t> Остаток денежных средств во временном распоряжении на лицевых счетах учреждений, открытых в Управлении Федерального казначейства на 01.01.2025 г. составил 3 289 010,42 рублей (обеспечение обязательств по муниципальным контрактам, заключенным казенными учреждениями).</w:t>
                  </w:r>
                </w:p>
                <w:p w:rsidR="009F54AC" w:rsidRDefault="0059407B">
                  <w:pPr>
                    <w:ind w:firstLine="700"/>
                    <w:jc w:val="both"/>
                  </w:pPr>
                  <w:r>
                    <w:rPr>
                      <w:color w:val="000000"/>
                      <w:sz w:val="28"/>
                      <w:szCs w:val="28"/>
                    </w:rPr>
                    <w:t>Увеличение показателя финансовых активов за 2024 год на 1 993 447 831,55 рублей обусловлено увеличением остатка денежных средств на счете бюджета, увеличением финансовых вложений в муниципальные учреждения, предприятия и иные формы участия в капитале (счет 0 204 00 000), увеличением дебиторской задолженности по доходам.</w:t>
                  </w:r>
                </w:p>
                <w:p w:rsidR="009F54AC" w:rsidRDefault="0059407B">
                  <w:pPr>
                    <w:ind w:firstLine="700"/>
                    <w:jc w:val="both"/>
                  </w:pPr>
                  <w:r>
                    <w:rPr>
                      <w:b/>
                      <w:bCs/>
                      <w:i/>
                      <w:iCs/>
                      <w:color w:val="000000"/>
                      <w:sz w:val="28"/>
                      <w:szCs w:val="28"/>
                    </w:rPr>
                    <w:t>-Обязательства по стр. 550</w:t>
                  </w:r>
                </w:p>
                <w:p w:rsidR="009F54AC" w:rsidRDefault="0059407B">
                  <w:pPr>
                    <w:ind w:firstLine="700"/>
                    <w:jc w:val="both"/>
                  </w:pPr>
                  <w:r>
                    <w:rPr>
                      <w:color w:val="000000"/>
                      <w:sz w:val="28"/>
                      <w:szCs w:val="28"/>
                    </w:rPr>
                    <w:t>на 01.01.2024 года 11 814 570 947,99 рублей, в том числе доходы будущих периодов 11 570 883 710,94 рублей, на 01.01.2025 года 13 802 229 261,34 рублей, в том числе доходы будущих периодов в сумме 13 641 686 575,16 рублей. Увеличились обязательства за 2024 год на сумму 1 987 658 313,35 (за счет увеличения задолженности по платежам в бюджет, начислениям доходов будущих периодов).</w:t>
                  </w:r>
                </w:p>
                <w:p w:rsidR="009F54AC" w:rsidRDefault="0059407B">
                  <w:pPr>
                    <w:jc w:val="both"/>
                  </w:pPr>
                  <w:r>
                    <w:rPr>
                      <w:color w:val="000000"/>
                      <w:sz w:val="28"/>
                      <w:szCs w:val="28"/>
                    </w:rPr>
                    <w:t>           В отчетности за 2024 год события после отчетной даты, информация о которых является существенной (Стандарт «События после отчетной даты») отсутствуют.</w:t>
                  </w:r>
                </w:p>
                <w:p w:rsidR="009F54AC" w:rsidRDefault="0059407B">
                  <w:pPr>
                    <w:jc w:val="both"/>
                  </w:pPr>
                  <w:r>
                    <w:rPr>
                      <w:color w:val="000000"/>
                      <w:sz w:val="28"/>
                      <w:szCs w:val="28"/>
                    </w:rPr>
                    <w:t>Показатели по счетам 1 205 51 000,1 205 61 000 по начисленным доходам будущих периодов по межбюджетным трансфертам из бюджета автономного округа исключены из состава долгосрочной задолженности.</w:t>
                  </w:r>
                </w:p>
                <w:p w:rsidR="009F54AC" w:rsidRDefault="0059407B">
                  <w:pPr>
                    <w:jc w:val="both"/>
                  </w:pPr>
                  <w:r>
                    <w:rPr>
                      <w:b/>
                      <w:bCs/>
                      <w:i/>
                      <w:iCs/>
                      <w:color w:val="000000"/>
                      <w:sz w:val="28"/>
                      <w:szCs w:val="28"/>
                    </w:rPr>
                    <w:t>Справка о наличии имущества и обязательств на забалансовых счетах (0503320)</w:t>
                  </w:r>
                </w:p>
                <w:p w:rsidR="009F54AC" w:rsidRDefault="009F54AC">
                  <w:pPr>
                    <w:rPr>
                      <w:vanish/>
                    </w:rPr>
                  </w:pPr>
                </w:p>
                <w:tbl>
                  <w:tblPr>
                    <w:tblOverlap w:val="never"/>
                    <w:tblW w:w="10482"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704"/>
                    <w:gridCol w:w="1559"/>
                    <w:gridCol w:w="1700"/>
                    <w:gridCol w:w="1700"/>
                    <w:gridCol w:w="1559"/>
                    <w:gridCol w:w="3260"/>
                  </w:tblGrid>
                  <w:tr w:rsidR="009F54AC">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 xml:space="preserve">номер забалансового </w:t>
                        </w:r>
                        <w:r>
                          <w:rPr>
                            <w:color w:val="000000"/>
                            <w:sz w:val="28"/>
                            <w:szCs w:val="28"/>
                          </w:rPr>
                          <w:lastRenderedPageBreak/>
                          <w:t>счета</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lastRenderedPageBreak/>
                          <w:t>Наименование</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остаток на 01.01.2024</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остаток на 01.01.2025</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Разница</w:t>
                        </w:r>
                      </w:p>
                      <w:p w:rsidR="009F54AC" w:rsidRDefault="0059407B">
                        <w:pPr>
                          <w:jc w:val="center"/>
                        </w:pPr>
                        <w:r>
                          <w:rPr>
                            <w:color w:val="000000"/>
                            <w:sz w:val="28"/>
                            <w:szCs w:val="28"/>
                          </w:rPr>
                          <w:t>(гр.3-4)</w:t>
                        </w:r>
                      </w:p>
                    </w:tc>
                    <w:tc>
                      <w:tcPr>
                        <w:tcW w:w="3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пояснение</w:t>
                        </w:r>
                      </w:p>
                    </w:tc>
                  </w:tr>
                  <w:tr w:rsidR="009F54AC">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Имущество, полученное в пользование</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9 175 992,79</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312 776 714,31</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-303 600 721,52</w:t>
                        </w:r>
                      </w:p>
                    </w:tc>
                    <w:tc>
                      <w:tcPr>
                        <w:tcW w:w="3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391 985 528,67 руб. поступление земельных участков МКУ «Администрация г.Пыть-Яха», выведенных из хозяйственного оборота, до момента заключения договоров аренды. </w:t>
                        </w:r>
                      </w:p>
                      <w:p w:rsidR="009F54AC" w:rsidRDefault="0059407B">
                        <w:pPr>
                          <w:jc w:val="both"/>
                        </w:pPr>
                        <w:r>
                          <w:rPr>
                            <w:color w:val="000000"/>
                            <w:sz w:val="28"/>
                            <w:szCs w:val="28"/>
                          </w:rPr>
                          <w:t>-3 602 746,77 руб. поступление нежилого помещения по адресу: мкр.10 "Мамонтово", ул.Е.Котина,14 в связи с отсутствием регистрации права оперативного управления в Едином государственном реестре недвижимости за МКУ «ЕДДС г.Пыть-Яха». </w:t>
                        </w:r>
                      </w:p>
                      <w:p w:rsidR="009F54AC" w:rsidRDefault="0059407B">
                        <w:pPr>
                          <w:jc w:val="both"/>
                        </w:pPr>
                        <w:r>
                          <w:rPr>
                            <w:color w:val="000000"/>
                            <w:sz w:val="28"/>
                            <w:szCs w:val="28"/>
                          </w:rPr>
                          <w:t>4 566 261,45 руб. поступление в пользование помещения, в связи с отсутствием регистрации права оперативного управления в Едином государственном реестре недвижимости за МКУ «УМТО г.Пыть-Яха» «Нежилое помещение (№ по плану строения 1 этаж: 20,22, МОП 2,4,5,6,13,…» расположенное по адресу мкр. 10 Мамонтово, ул.Е.Котина, д.14; </w:t>
                        </w:r>
                      </w:p>
                      <w:p w:rsidR="009F54AC" w:rsidRDefault="0059407B">
                        <w:pPr>
                          <w:jc w:val="both"/>
                        </w:pPr>
                        <w:r>
                          <w:rPr>
                            <w:color w:val="000000"/>
                            <w:sz w:val="28"/>
                            <w:szCs w:val="28"/>
                          </w:rPr>
                          <w:t xml:space="preserve">1 577 494,82 руб. увеличение балансовой стоимости в результате увеличения площади </w:t>
                        </w:r>
                        <w:r>
                          <w:rPr>
                            <w:color w:val="000000"/>
                            <w:sz w:val="28"/>
                            <w:szCs w:val="28"/>
                          </w:rPr>
                          <w:lastRenderedPageBreak/>
                          <w:t>объекта «Нежилое помещение (№ по плану строения 1 этаж: 20,22, МОП 2,4,5,6,13,…» расположенное по адресу мкр. 10 Мамонтово, ул.Е.Котина, д.14 в связи с изъятием и передачей от МКУ «ЕДДС г.Пыть-Яха» в МКУ «УМТО г.Пыть-Яха» части помещения (гараж) №15 по тех.паспорту. </w:t>
                        </w:r>
                      </w:p>
                      <w:p w:rsidR="009F54AC" w:rsidRDefault="0059407B">
                        <w:pPr>
                          <w:jc w:val="both"/>
                        </w:pPr>
                        <w:r>
                          <w:rPr>
                            <w:color w:val="000000"/>
                            <w:sz w:val="28"/>
                            <w:szCs w:val="28"/>
                          </w:rPr>
                          <w:t>596 415,40 руб. поступление в пользование помещения, в связи с отсутствием регистрации права оперативного управления в Едином государственном реестре недвижимости за МКУ «УМТО г.Пыть-Яха» «Нежилое помещение общ.пл.91,6 кв.м. на цокольном этаже» по адресу: г.Пыть-Ях мкр. 2, д.28а </w:t>
                        </w:r>
                      </w:p>
                      <w:p w:rsidR="009F54AC" w:rsidRDefault="0059407B">
                        <w:pPr>
                          <w:jc w:val="both"/>
                        </w:pPr>
                        <w:r>
                          <w:rPr>
                            <w:color w:val="000000"/>
                            <w:sz w:val="28"/>
                            <w:szCs w:val="28"/>
                          </w:rPr>
                          <w:t>Выбытие за 2024 год составило 98 727 725,59 руб. из них:</w:t>
                        </w:r>
                      </w:p>
                      <w:p w:rsidR="009F54AC" w:rsidRDefault="0059407B">
                        <w:pPr>
                          <w:jc w:val="both"/>
                        </w:pPr>
                        <w:r>
                          <w:rPr>
                            <w:color w:val="000000"/>
                            <w:sz w:val="28"/>
                            <w:szCs w:val="28"/>
                          </w:rPr>
                          <w:t>- 251 148,47 руб. (муниципальная казна) выбытие помещения Гараж по адресу: 3 мкр., д.34а в связи с прекращением права оперативного управления за МКУ «УМТО г.Пыть-Яха» и включением муниципальную казну;</w:t>
                        </w:r>
                      </w:p>
                      <w:p w:rsidR="009F54AC" w:rsidRDefault="0059407B">
                        <w:pPr>
                          <w:jc w:val="both"/>
                        </w:pPr>
                        <w:r>
                          <w:rPr>
                            <w:color w:val="000000"/>
                            <w:sz w:val="28"/>
                            <w:szCs w:val="28"/>
                          </w:rPr>
                          <w:lastRenderedPageBreak/>
                          <w:t>- 96 785 836,20 руб. отражено выбытие земельных участков субъекта, в связи с заключением договоров аренды МКУ «Администрация»;</w:t>
                        </w:r>
                      </w:p>
                      <w:p w:rsidR="009F54AC" w:rsidRDefault="0059407B">
                        <w:pPr>
                          <w:jc w:val="both"/>
                        </w:pPr>
                        <w:r>
                          <w:rPr>
                            <w:color w:val="000000"/>
                            <w:sz w:val="28"/>
                            <w:szCs w:val="28"/>
                          </w:rPr>
                          <w:t>- 113 246,10 руб. выбыл земельный участок МКУ «УКС Г.Пыть-Яха» кадастровый № 86:15:0101003:588 41кв.м в связи с окончанием срока действия сервитута;</w:t>
                        </w:r>
                      </w:p>
                      <w:p w:rsidR="009F54AC" w:rsidRDefault="0059407B">
                        <w:pPr>
                          <w:jc w:val="both"/>
                        </w:pPr>
                        <w:r>
                          <w:rPr>
                            <w:color w:val="000000"/>
                            <w:sz w:val="28"/>
                            <w:szCs w:val="28"/>
                          </w:rPr>
                          <w:t>- 1 577 494,82 руб. в связи с изменением (уменьшением) площади и балансовой стоимости нежилых помещений по адресу: мкр.10 "Мамонтово", ул.Е.Котина,14, на основании соглашения к договору о закреплении имущества на праве оперативного управления б/н от 04.09.2024г.  МКУ «ЕДДС г.Пыть-Яха».</w:t>
                        </w:r>
                      </w:p>
                    </w:tc>
                  </w:tr>
                  <w:tr w:rsidR="009F54AC">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lastRenderedPageBreak/>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Сомнительная задолженность, всего</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79 014 624,37</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65 284 947,25</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13 729 677,12</w:t>
                        </w:r>
                      </w:p>
                    </w:tc>
                    <w:tc>
                      <w:tcPr>
                        <w:tcW w:w="3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Отражено списание/восстановление сомнительной задолженности по аренде земельных участков, излишне выданным денежным средствам по заработной плате уволенным сотрудникам.</w:t>
                        </w:r>
                      </w:p>
                    </w:tc>
                  </w:tr>
                  <w:tr w:rsidR="009F54AC">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 xml:space="preserve">Награды, призы, кубки и ценные </w:t>
                        </w:r>
                        <w:r>
                          <w:rPr>
                            <w:color w:val="000000"/>
                            <w:sz w:val="28"/>
                            <w:szCs w:val="28"/>
                          </w:rPr>
                          <w:lastRenderedPageBreak/>
                          <w:t>подарки, сувениры</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lastRenderedPageBreak/>
                          <w:t>512 269,72</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316 251,65</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196 018,07</w:t>
                        </w:r>
                      </w:p>
                    </w:tc>
                    <w:tc>
                      <w:tcPr>
                        <w:tcW w:w="3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 xml:space="preserve">На забалансовом счете 07.2 «Награды, призы, кубки и ценные подарки, сувениры по стоимости </w:t>
                        </w:r>
                        <w:r>
                          <w:rPr>
                            <w:color w:val="000000"/>
                            <w:sz w:val="28"/>
                            <w:szCs w:val="28"/>
                          </w:rPr>
                          <w:lastRenderedPageBreak/>
                          <w:t>приобретения» материальные ценности, предназначенные для дальнейшего награждения, вручения (Бланки; «Почетная грамота», «Благодарственное письмо», «Благодарность» и др., папки и рамки для вложения, подарочная и памятная продукция, ценные подарки). </w:t>
                        </w:r>
                      </w:p>
                    </w:tc>
                  </w:tr>
                  <w:tr w:rsidR="009F54AC">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lastRenderedPageBreak/>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Банковские гарантии</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67 354 781,70</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38 996 580,35</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 28 358 201,35</w:t>
                        </w:r>
                      </w:p>
                    </w:tc>
                    <w:tc>
                      <w:tcPr>
                        <w:tcW w:w="3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Отражен возврат банковских гарантии в связи с исполнением муниципальных контрактов </w:t>
                        </w:r>
                      </w:p>
                    </w:tc>
                  </w:tr>
                  <w:tr w:rsidR="009F54AC">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25</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Имущество, переданное в возмездное пользование (арендцу)</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9 036 658 897,73</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9 305 607 422,82</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-268 948 525,09</w:t>
                        </w:r>
                      </w:p>
                    </w:tc>
                    <w:tc>
                      <w:tcPr>
                        <w:tcW w:w="3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 xml:space="preserve">Поступило в 2024 г. имущества на сумму 915 834 777,62 руб. (заключение договоров аренды, изменение стоимости объектов энергетики). Выбыло имущества на сумму 646 886 252,53 руб. (прекращение договоров аренды муниципального имущества). На конец года стоимость имущества в аренде составляет 9 305 607 422,82 руб., в том числе недвижимое имущество 444 298 511,15 руб., 16 054 594,90 руб. движимое имущество, 8 845 254 316,77 руб., земельные участки </w:t>
                        </w:r>
                        <w:r>
                          <w:rPr>
                            <w:color w:val="000000"/>
                            <w:sz w:val="28"/>
                            <w:szCs w:val="28"/>
                          </w:rPr>
                          <w:lastRenderedPageBreak/>
                          <w:t>(вовлеченные в хоз. оборот, собственность на которые не разграничена)</w:t>
                        </w:r>
                      </w:p>
                    </w:tc>
                  </w:tr>
                  <w:tr w:rsidR="009F54AC">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lastRenderedPageBreak/>
                          <w:t>26</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Имущество, переданное в безвозмездное пользование)</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570 160 810,57</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580 729 677,40</w:t>
                        </w:r>
                      </w:p>
                    </w:tc>
                    <w:tc>
                      <w:tcPr>
                        <w:tcW w:w="155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-10 568 866,83</w:t>
                        </w:r>
                      </w:p>
                    </w:tc>
                    <w:tc>
                      <w:tcPr>
                        <w:tcW w:w="3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 Поступило имущества казны на сумму 22 884 122,72 руб., из них по льготной аренде – 854 540,86 руб. (оборудование, инвентарь, материалы), по иным основаниям – 18 254 358,08 руб. (в том числе недвижимое имущество – 22 029 581,86 руб. (гараж, земельные участки, переданные в КУ ХМАО-Югры «УКС ХМАО», МКУ «УКС г. Пыть-Яха).</w:t>
                        </w:r>
                      </w:p>
                      <w:p w:rsidR="009F54AC" w:rsidRDefault="0059407B">
                        <w:pPr>
                          <w:jc w:val="both"/>
                        </w:pPr>
                        <w:r>
                          <w:rPr>
                            <w:color w:val="000000"/>
                            <w:sz w:val="28"/>
                            <w:szCs w:val="28"/>
                          </w:rPr>
                          <w:t>- 218 988 057,50 руб. отражены земельные участки, вовлеченные в хозяйственный/экономический оборот, право собственности на которые не разграничено; </w:t>
                        </w:r>
                      </w:p>
                      <w:p w:rsidR="009F54AC" w:rsidRDefault="0059407B">
                        <w:pPr>
                          <w:jc w:val="both"/>
                        </w:pPr>
                        <w:r>
                          <w:rPr>
                            <w:color w:val="000000"/>
                            <w:sz w:val="28"/>
                            <w:szCs w:val="28"/>
                          </w:rPr>
                          <w:t>- 512 580,97 руб. основные средства МКУ «ЕДДС г.Пыть-Яха» переданные в безвозмездное пользование учреждениям и организациям города.</w:t>
                        </w:r>
                      </w:p>
                      <w:p w:rsidR="009F54AC" w:rsidRDefault="0059407B">
                        <w:pPr>
                          <w:jc w:val="both"/>
                        </w:pPr>
                        <w:r>
                          <w:rPr>
                            <w:color w:val="000000"/>
                            <w:sz w:val="28"/>
                            <w:szCs w:val="28"/>
                          </w:rPr>
                          <w:t xml:space="preserve">- 7 671,42 руб. Часть нежилого сооружения Склад УТТ (АРИ) - машиноместа площадью 18 кв.м. МКУ «УМТО г.Пыть-Яха» переданное в безвозмездное </w:t>
                        </w:r>
                        <w:r>
                          <w:rPr>
                            <w:color w:val="000000"/>
                            <w:sz w:val="28"/>
                            <w:szCs w:val="28"/>
                          </w:rPr>
                          <w:lastRenderedPageBreak/>
                          <w:t>пользование МАУК «КДЦ».</w:t>
                        </w:r>
                      </w:p>
                      <w:p w:rsidR="009F54AC" w:rsidRDefault="0059407B">
                        <w:pPr>
                          <w:jc w:val="both"/>
                        </w:pPr>
                        <w:r>
                          <w:rPr>
                            <w:color w:val="000000"/>
                            <w:sz w:val="28"/>
                            <w:szCs w:val="28"/>
                          </w:rPr>
                          <w:t>Выбыло имущества казны из безвозмездного пользования на сумму 7 080 795,68 руб., из них на льготных условиях: 669 483,50 руб., по иным основаниям – 6 411 312,18 руб.</w:t>
                        </w:r>
                      </w:p>
                      <w:p w:rsidR="009F54AC" w:rsidRDefault="0059407B">
                        <w:pPr>
                          <w:jc w:val="both"/>
                        </w:pPr>
                        <w:r>
                          <w:rPr>
                            <w:color w:val="000000"/>
                            <w:sz w:val="28"/>
                            <w:szCs w:val="28"/>
                          </w:rPr>
                          <w:t>-23 414 665,87 руб. (земельные участки (вовлеченные в хозяйственный/экономический оборот, право собственности на которые не разграничено) и 7 671,42 руб. расторжение договора безвозмездного пользования части нежилого сооружения Склад УТТ (АРИ) - машиноместа площадью 18 кв.м. МКУ «УМТО г.Пыть-Яха».</w:t>
                        </w:r>
                      </w:p>
                    </w:tc>
                  </w:tr>
                </w:tbl>
                <w:p w:rsidR="009F54AC" w:rsidRDefault="0059407B">
                  <w:pPr>
                    <w:jc w:val="both"/>
                  </w:pPr>
                  <w:r>
                    <w:rPr>
                      <w:b/>
                      <w:bCs/>
                      <w:i/>
                      <w:iCs/>
                      <w:color w:val="000000"/>
                      <w:sz w:val="28"/>
                      <w:szCs w:val="28"/>
                    </w:rPr>
                    <w:lastRenderedPageBreak/>
                    <w:t>Консолидированный отчет о финансовых результатах деятельности форма (0503321)</w:t>
                  </w:r>
                </w:p>
                <w:p w:rsidR="009F54AC" w:rsidRDefault="0059407B">
                  <w:pPr>
                    <w:jc w:val="both"/>
                  </w:pPr>
                  <w:r>
                    <w:rPr>
                      <w:b/>
                      <w:bCs/>
                      <w:color w:val="000000"/>
                      <w:sz w:val="28"/>
                      <w:szCs w:val="28"/>
                    </w:rPr>
                    <w:t>По строке 010 отражены начисленные доходы в сумме 6 129 084 344,33 рублей, </w:t>
                  </w:r>
                </w:p>
                <w:p w:rsidR="009F54AC" w:rsidRDefault="0059407B">
                  <w:pPr>
                    <w:jc w:val="both"/>
                  </w:pPr>
                  <w:r>
                    <w:rPr>
                      <w:b/>
                      <w:bCs/>
                      <w:color w:val="000000"/>
                      <w:sz w:val="28"/>
                      <w:szCs w:val="28"/>
                    </w:rPr>
                    <w:t>По строке 150 отражены начисленные расходы в сумме 5 673 228 765,58 рублей, в том числе;</w:t>
                  </w:r>
                </w:p>
                <w:p w:rsidR="009F54AC" w:rsidRDefault="009F54AC">
                  <w:pPr>
                    <w:rPr>
                      <w:vanish/>
                    </w:rPr>
                  </w:pPr>
                </w:p>
                <w:tbl>
                  <w:tblPr>
                    <w:tblOverlap w:val="never"/>
                    <w:tblW w:w="10739"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1545"/>
                    <w:gridCol w:w="1563"/>
                    <w:gridCol w:w="1749"/>
                    <w:gridCol w:w="5882"/>
                  </w:tblGrid>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номер строки</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код по КОСГУ</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Сумма</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Пояснения</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030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129</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4 769 525,49</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Оплата за соц.найм помещений, находящихся в муниципальной собственности и поступления за предоставление права на размещение и эксплуатацию не стационарного торгового объекта, установку и эксплуатацию рекламных конструкций на земельных участках-</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060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151</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3 112 716 173,48</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 xml:space="preserve">Начисленные доходы за 2024 год от оказания финансовой помощи, поступившей по </w:t>
                        </w:r>
                        <w:r>
                          <w:rPr>
                            <w:color w:val="000000"/>
                            <w:sz w:val="28"/>
                            <w:szCs w:val="28"/>
                          </w:rPr>
                          <w:lastRenderedPageBreak/>
                          <w:t>межбюджетным трансфертам из бюджета автономного округа</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153</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1 153 928,12</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Поступление денежных средств от бюджетных и автономных учреждений по актам проверки КРО Администрации г.Пыть-Яха (нецелевое использование субсидии на муниципальное задание)</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060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155</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39 113 325,57</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 Поступило по заключенному соглашению от ООО РН Юганскнефтегаз 130 000 000,00 руб. Возвращено ООО РН Юганскнефтегаз в связи с расторжением соглашения 90 886 674,63 руб.</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090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172</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-210 449 732,18</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Обороты по счету 1.401.10.172 в корреспонденции с счетом 205.71 доходы по договорам выкупа 55 635 153,17  руб.</w:t>
                        </w:r>
                      </w:p>
                      <w:p w:rsidR="009F54AC" w:rsidRDefault="0059407B">
                        <w:pPr>
                          <w:jc w:val="both"/>
                        </w:pPr>
                        <w:r>
                          <w:rPr>
                            <w:color w:val="000000"/>
                            <w:sz w:val="28"/>
                            <w:szCs w:val="28"/>
                          </w:rPr>
                          <w:t>Доходы от реализации имущества находящегося в собственности ГО 64 088 583,65 руб</w:t>
                        </w:r>
                      </w:p>
                      <w:p w:rsidR="009F54AC" w:rsidRDefault="0059407B">
                        <w:pPr>
                          <w:jc w:val="both"/>
                        </w:pPr>
                        <w:r>
                          <w:rPr>
                            <w:color w:val="000000"/>
                            <w:sz w:val="28"/>
                            <w:szCs w:val="28"/>
                          </w:rPr>
                          <w:t>(-3 199 000,00  рублей     - списание вкладов учредителя в связи с ликвидацией  МУПАТП     м.о. город Пыть-Ях")</w:t>
                        </w:r>
                      </w:p>
                      <w:p w:rsidR="009F54AC" w:rsidRDefault="0059407B">
                        <w:pPr>
                          <w:jc w:val="both"/>
                        </w:pPr>
                        <w:r>
                          <w:rPr>
                            <w:color w:val="000000"/>
                            <w:sz w:val="28"/>
                            <w:szCs w:val="28"/>
                          </w:rPr>
                          <w:t>Обороты по счету 1.401.10.172 в корреспонденции с счетом 205.73. Доходы от продажи земельных участков, собственность на которые не разграничена 4 871 303,69руб. </w:t>
                        </w:r>
                      </w:p>
                      <w:p w:rsidR="009F54AC" w:rsidRDefault="0059407B">
                        <w:pPr>
                          <w:jc w:val="both"/>
                        </w:pPr>
                        <w:r>
                          <w:rPr>
                            <w:color w:val="000000"/>
                            <w:sz w:val="28"/>
                            <w:szCs w:val="28"/>
                          </w:rPr>
                          <w:t>  Обороты по счету 1.401.10.172 в корреспонденции с счетом 108.51, 108.52.,108.55 Списание остаточной стоимости имущества казны (выбытие жилых помещений (квартир) в собственность граждан по договорам мены и приватизации жилых помещений)  , земельных участков (- 372 651 371,62 руб.</w:t>
                        </w:r>
                      </w:p>
                      <w:p w:rsidR="009F54AC" w:rsidRDefault="0059407B">
                        <w:pPr>
                          <w:jc w:val="both"/>
                        </w:pPr>
                        <w:r>
                          <w:rPr>
                            <w:color w:val="000000"/>
                            <w:sz w:val="28"/>
                            <w:szCs w:val="28"/>
                          </w:rPr>
                          <w:t>Обороты по счету 1.401.10.172 в корреспонденции с счетом 204.33. Корректировка расчетов АУ и БУ с учредителем, в форме 0503310 отражен по КБК 11109000000000000 (</w:t>
                        </w:r>
                        <w:r>
                          <w:rPr>
                            <w:i/>
                            <w:iCs/>
                            <w:color w:val="000000"/>
                            <w:sz w:val="28"/>
                            <w:szCs w:val="28"/>
                          </w:rPr>
                          <w:t xml:space="preserve">идентичный показатель отражен в форме </w:t>
                        </w:r>
                        <w:r>
                          <w:rPr>
                            <w:b/>
                            <w:bCs/>
                            <w:i/>
                            <w:iCs/>
                            <w:color w:val="000000"/>
                            <w:sz w:val="28"/>
                            <w:szCs w:val="28"/>
                          </w:rPr>
                          <w:t>0503730</w:t>
                        </w:r>
                        <w:r>
                          <w:rPr>
                            <w:i/>
                            <w:iCs/>
                            <w:color w:val="000000"/>
                            <w:sz w:val="28"/>
                            <w:szCs w:val="28"/>
                          </w:rPr>
                          <w:t xml:space="preserve"> по строке 480 </w:t>
                        </w:r>
                        <w:r>
                          <w:rPr>
                            <w:i/>
                            <w:iCs/>
                            <w:color w:val="000000"/>
                            <w:sz w:val="28"/>
                            <w:szCs w:val="28"/>
                          </w:rPr>
                          <w:lastRenderedPageBreak/>
                          <w:t>разница счета 210.06. «Расчеты с учредителем») 40 701 282,06 руб.</w:t>
                        </w:r>
                      </w:p>
                      <w:p w:rsidR="009F54AC" w:rsidRDefault="0059407B">
                        <w:pPr>
                          <w:jc w:val="both"/>
                        </w:pPr>
                        <w:r>
                          <w:rPr>
                            <w:color w:val="000000"/>
                            <w:sz w:val="28"/>
                            <w:szCs w:val="28"/>
                          </w:rPr>
                          <w:t>Обороты по счету 1.401.10.172 в корреспонденции с счетом 105.00 возврат спецодежды уволенных сотрудников 104 316,87 руб..   </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090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173</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6 687 896,52</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Списана сомнительная задолженность:\n- по аренде имущества - (-35 935,29 руб.)\n- по аренде земли - (-17 702 997,31 руб.)                                                                                                                                                                                     Списана дебиторская задолженность, как сомнительная, числящаяся за виновным лицом по результатам инвентаризации:                                                                                                                                                                                                   (-118 980,00руб);                                                                                                                                                                                                                                                  Списана невостребованная кредиторская задолженность:                                                                                                                                                                  по аренде земли -22 842,40 руб.                                                                                                                                                                                                          по аренде имущества - 4 460,40 руб.                                                                                                                                                                                                   по штрафам, договорам купли-продажи /мена квартир - 45 867,97 руб.                                                                                                                    Восстановлена сомнительная задолженность:                                                                                                                                                                                         - по аренде земли - 24 808 629,71 руб.                           </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090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174</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-3 573 434,70</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shd w:val="clear" w:color="auto" w:fill="FFFFFF"/>
                          </w:rPr>
                          <w:t xml:space="preserve">списание начисленной и не уплаченной суммы пени не превышающей 5% цены </w:t>
                        </w:r>
                        <w:r>
                          <w:rPr>
                            <w:color w:val="000000"/>
                            <w:sz w:val="28"/>
                            <w:szCs w:val="28"/>
                            <w:shd w:val="clear" w:color="auto" w:fill="FFFFFF"/>
                          </w:rPr>
                          <w:lastRenderedPageBreak/>
                          <w:t>муниципальных контрактов в соответствии с Постановлением Правительства от 04.07.2018 №783 (п.3,5) «О списании начисленных поставщику (подрядчику, исполнителю) но не списанных заказчиком </w:t>
                        </w:r>
                        <w:r>
                          <w:rPr>
                            <w:color w:val="000000"/>
                            <w:sz w:val="28"/>
                            <w:szCs w:val="28"/>
                          </w:rPr>
                          <w:t>о не списанных заказчиком в связи с неисполнением или ненадлежащим исполнением обязательств, предусмотренных контрактом»</w:t>
                        </w:r>
                        <w:r>
                          <w:rPr>
                            <w:color w:val="000000"/>
                            <w:sz w:val="28"/>
                            <w:szCs w:val="28"/>
                            <w:shd w:val="clear" w:color="auto" w:fill="FFFFFF"/>
                          </w:rPr>
                          <w:t>, по решению (приказ) комиссии по поступлению и выбытию активов казенных учреждений, в связи с полным исполнением контрактов. </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090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176</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243 369 896,00</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1.В соответствии с Федеральным законом от 03.07.2016 N 237-ФЗ "О государственной кадастровой оценке", акта об определении кадастровой стоимости, БУ ХМАО-Югры «Центр имущественных отношений»,  изменена кадастровая стоимость земельных участков на 5 093 138,90 руб.;                                                            2.В соответствии с п.28 Приказа Минфина РФ 157н, при передаче имущества (недвижимого, движимого) физическим и юридическим лицам по договорам купли-продажи (в том числе при реализации прогнозного плана (программа) приватизации имущества, находящегося в собственности городского округа), договорам мены жилых помещений балансовая стоимость переоценивается до справедливой (рыночной) стоимости.</w:t>
                        </w:r>
                      </w:p>
                      <w:p w:rsidR="009F54AC" w:rsidRDefault="0059407B">
                        <w:pPr>
                          <w:jc w:val="both"/>
                        </w:pPr>
                        <w:r>
                          <w:rPr>
                            <w:color w:val="000000"/>
                            <w:sz w:val="28"/>
                            <w:szCs w:val="28"/>
                          </w:rPr>
                          <w:t>Увеличена стоимость недвижимого и движимого имущества муниципальной казны – 238  276 757,10 руб.</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100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189</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-27 091,68</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Уточнение прочих неналоговых доходов бюджета прошлых лет как поступления по договорам аренды (по заявлению плательщиков) в 2023 году на КБК 11105034040000121 аренда муниципального имущества</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191</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2 490 784,04</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 xml:space="preserve">Безвозмездные неденежные поступления текущего характера от Департамента госимущества, муниципальных казенных, </w:t>
                        </w:r>
                        <w:r>
                          <w:rPr>
                            <w:color w:val="000000"/>
                            <w:sz w:val="28"/>
                            <w:szCs w:val="28"/>
                          </w:rPr>
                          <w:lastRenderedPageBreak/>
                          <w:t>автономных, бюджетных учреждений, в том числе</w:t>
                        </w:r>
                      </w:p>
                      <w:p w:rsidR="009F54AC" w:rsidRDefault="0059407B">
                        <w:pPr>
                          <w:jc w:val="both"/>
                        </w:pPr>
                        <w:r>
                          <w:rPr>
                            <w:color w:val="000000"/>
                            <w:sz w:val="28"/>
                            <w:szCs w:val="28"/>
                          </w:rPr>
                          <w:t>с аналитическим кодом подвида доходов;</w:t>
                        </w:r>
                      </w:p>
                      <w:p w:rsidR="009F54AC" w:rsidRDefault="0059407B">
                        <w:pPr>
                          <w:jc w:val="both"/>
                        </w:pPr>
                        <w:r>
                          <w:rPr>
                            <w:color w:val="000000"/>
                            <w:sz w:val="28"/>
                            <w:szCs w:val="28"/>
                          </w:rPr>
                          <w:t>193 в сумме 68 244,00 рублей,</w:t>
                        </w:r>
                      </w:p>
                      <w:p w:rsidR="009F54AC" w:rsidRDefault="0059407B">
                        <w:pPr>
                          <w:jc w:val="both"/>
                        </w:pPr>
                        <w:r>
                          <w:rPr>
                            <w:color w:val="000000"/>
                            <w:sz w:val="28"/>
                            <w:szCs w:val="28"/>
                          </w:rPr>
                          <w:t>196 в сумме 2 422 540,04,00 рублей,</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110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195</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47 047 591,20</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Безвозмездные неденежные поступления капитального характера от Департамента госимущества, муниципальных казенных, автономных, бюджетных учреждений, в том числе</w:t>
                        </w:r>
                      </w:p>
                      <w:p w:rsidR="009F54AC" w:rsidRDefault="0059407B">
                        <w:pPr>
                          <w:jc w:val="both"/>
                        </w:pPr>
                        <w:r>
                          <w:rPr>
                            <w:color w:val="000000"/>
                            <w:sz w:val="28"/>
                            <w:szCs w:val="28"/>
                          </w:rPr>
                          <w:t>с аналитическим кодом подвида доходов;</w:t>
                        </w:r>
                      </w:p>
                      <w:p w:rsidR="009F54AC" w:rsidRDefault="0059407B">
                        <w:pPr>
                          <w:jc w:val="both"/>
                        </w:pPr>
                        <w:r>
                          <w:rPr>
                            <w:color w:val="000000"/>
                            <w:sz w:val="28"/>
                            <w:szCs w:val="28"/>
                          </w:rPr>
                          <w:t>193 в сумме 26 461 486,77 рублей,</w:t>
                        </w:r>
                      </w:p>
                      <w:p w:rsidR="009F54AC" w:rsidRDefault="0059407B">
                        <w:pPr>
                          <w:jc w:val="both"/>
                        </w:pPr>
                        <w:r>
                          <w:rPr>
                            <w:color w:val="000000"/>
                            <w:sz w:val="28"/>
                            <w:szCs w:val="28"/>
                          </w:rPr>
                          <w:t>196 в сумме 20 586 104,43 рублей,</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197</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37 005 011,00</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Безвозмездные неденежные поступления от физических лиц (жилые помещения) с аналитическим кодом подвида доходов 199.</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199</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662 307 662,74</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Принятие к учету движимого имущества казны, оформление прав бесхозного имущества (дороги, инженерные сети, детские площадки) 10 096 797,96 руб.</w:t>
                        </w:r>
                      </w:p>
                      <w:p w:rsidR="009F54AC" w:rsidRDefault="0059407B">
                        <w:pPr>
                          <w:jc w:val="both"/>
                        </w:pPr>
                        <w:r>
                          <w:rPr>
                            <w:color w:val="000000"/>
                            <w:sz w:val="28"/>
                            <w:szCs w:val="28"/>
                          </w:rPr>
                          <w:t>   Принятие на учет земельных участков:                                                                                                                                                                                                   70 553 036,34 руб. – приняты к учету в 2024 году ранее не учтенные     земельные участки в постоянное бессрочное пользование;                                                                                                                          244 877 602,22 руб. - земельные участки государственная собственность на которые не разграничена, вовлеченные в хоз оборот;       </w:t>
                        </w:r>
                      </w:p>
                      <w:p w:rsidR="009F54AC" w:rsidRDefault="0059407B">
                        <w:pPr>
                          <w:jc w:val="both"/>
                        </w:pPr>
                        <w:r>
                          <w:rPr>
                            <w:color w:val="000000"/>
                            <w:sz w:val="28"/>
                            <w:szCs w:val="28"/>
                          </w:rPr>
                          <w:t>336 778 896,80 руб. – оформление прав на земельные участки, составляющие имущество казны;</w:t>
                        </w:r>
                      </w:p>
                      <w:p w:rsidR="009F54AC" w:rsidRDefault="0059407B">
                        <w:pPr>
                          <w:jc w:val="both"/>
                        </w:pPr>
                        <w:r>
                          <w:rPr>
                            <w:color w:val="000000"/>
                            <w:sz w:val="28"/>
                            <w:szCs w:val="28"/>
                          </w:rPr>
                          <w:t>1 329,42 руб.- принятие к учету вторичных материалов </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241</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2 877 919 242,48</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Субсидии МБУ и МАУ на выполнение муниципального задания – 2 754 322 404,77 рублей.</w:t>
                        </w:r>
                      </w:p>
                      <w:p w:rsidR="009F54AC" w:rsidRDefault="0059407B">
                        <w:pPr>
                          <w:jc w:val="both"/>
                        </w:pPr>
                        <w:r>
                          <w:rPr>
                            <w:color w:val="000000"/>
                            <w:sz w:val="28"/>
                            <w:szCs w:val="28"/>
                          </w:rPr>
                          <w:t>Субсидия МБУ и МАУ на иные цели 121 179 748,36Рублей.</w:t>
                        </w:r>
                      </w:p>
                      <w:p w:rsidR="009F54AC" w:rsidRDefault="0059407B">
                        <w:pPr>
                          <w:jc w:val="both"/>
                        </w:pPr>
                        <w:r>
                          <w:rPr>
                            <w:color w:val="000000"/>
                            <w:sz w:val="28"/>
                            <w:szCs w:val="28"/>
                          </w:rPr>
                          <w:lastRenderedPageBreak/>
                          <w:t>Безвозмездная передача нефинансовых активов 2 417 089,35 рублей</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210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244</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564 088 552,25</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Субсидии на финансовое обеспечение затрат на выполнение работ по капитальному ремонту объектов ЖКХ, являющихся муниципальной собственностью, субсидия на возмещение недополученных доходов, субсидия на ремонт наружных источников пожарного водоснабжения, на погашение кредиторской задолженности за ТЭР в сумме 470 309214,50 рублей. Безвозмездная передача нефинансовых активов с аналитическим кодом вида расходов 808 в сумме 2 331 678,37 рублей.</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245</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36 325 855,15</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Субсидии на возмещение затрат субъектам малого и среднего предпринимательств за аренду имущества, приобретение основных средств 4 266 100,00 рублей.</w:t>
                        </w:r>
                      </w:p>
                      <w:p w:rsidR="009F54AC" w:rsidRDefault="0059407B">
                        <w:pPr>
                          <w:jc w:val="both"/>
                        </w:pPr>
                        <w:r>
                          <w:rPr>
                            <w:color w:val="000000"/>
                            <w:sz w:val="28"/>
                            <w:szCs w:val="28"/>
                          </w:rPr>
                          <w:t>Предост.субсидии на фин.обеспечение затрат связанных с реализ.проекта "Женский фитнес-центр" 1 500 000,00 руб.,</w:t>
                        </w:r>
                      </w:p>
                      <w:p w:rsidR="009F54AC" w:rsidRDefault="0059407B">
                        <w:pPr>
                          <w:jc w:val="both"/>
                        </w:pPr>
                        <w:r>
                          <w:rPr>
                            <w:color w:val="000000"/>
                            <w:sz w:val="28"/>
                            <w:szCs w:val="28"/>
                          </w:rPr>
                          <w:t> предоставление субсидии ОАО ЮТЭК на возмещение части понесенных затрат по Концессионному соглашению от 14.01.2023 №1 в сумме   29 487 629,51 руб.</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246</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17 058 202,88</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Субсидии социально ориентированным некоммерческим организациям на реализацию социально значимых программ 3 298 100,00 рублей.</w:t>
                        </w:r>
                      </w:p>
                      <w:p w:rsidR="009F54AC" w:rsidRDefault="0059407B">
                        <w:pPr>
                          <w:jc w:val="both"/>
                        </w:pPr>
                        <w:r>
                          <w:rPr>
                            <w:color w:val="000000"/>
                            <w:sz w:val="28"/>
                            <w:szCs w:val="28"/>
                          </w:rPr>
                          <w:t>Субсидия на поддержку и развитие животноводства 7 959 102,88 рублей.</w:t>
                        </w:r>
                      </w:p>
                      <w:p w:rsidR="009F54AC" w:rsidRDefault="0059407B">
                        <w:pPr>
                          <w:jc w:val="both"/>
                        </w:pPr>
                        <w:r>
                          <w:rPr>
                            <w:color w:val="000000"/>
                            <w:sz w:val="28"/>
                            <w:szCs w:val="28"/>
                          </w:rPr>
                          <w:t>Предоставление субсидии социально ориентир. некоммерч. организациям на реализацию мероприятий в области молодежной политики 5 801 000,00 руб,</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24А</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5 026 542,43</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Субсидия на возмещение недополученных доходов организациям оказания населению услуг бань 3 259 480,43 руб., по пассажирским перевозкам 1 767 062,00руб.</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210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24В</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20 350 546,70</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Субсидия на фин. обеспечение муниципального социального заказа по направлению деятельности реализация доп. общеразвивающих программ для детей"</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260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281</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95 914 821,84</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Безвозмездная передача нефинансовых активов капитального характера муниципальным учреждениям по аналитическому коду вида расходов 803 </w:t>
                        </w:r>
                      </w:p>
                    </w:tc>
                  </w:tr>
                  <w:tr w:rsidR="009F54AC">
                    <w:tc>
                      <w:tcPr>
                        <w:tcW w:w="154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260</w:t>
                        </w:r>
                      </w:p>
                    </w:tc>
                    <w:tc>
                      <w:tcPr>
                        <w:tcW w:w="15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284</w:t>
                        </w:r>
                      </w:p>
                    </w:tc>
                    <w:tc>
                      <w:tcPr>
                        <w:tcW w:w="174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33 803 652,17</w:t>
                        </w:r>
                      </w:p>
                    </w:tc>
                    <w:tc>
                      <w:tcPr>
                        <w:tcW w:w="588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Безвозмездная передача нефинансовых активов капитального характера МУП по аналитическому коду вида расходов 808 </w:t>
                        </w:r>
                      </w:p>
                    </w:tc>
                  </w:tr>
                </w:tbl>
                <w:p w:rsidR="009F54AC" w:rsidRDefault="0059407B">
                  <w:pPr>
                    <w:jc w:val="both"/>
                  </w:pPr>
                  <w:r>
                    <w:rPr>
                      <w:b/>
                      <w:bCs/>
                      <w:i/>
                      <w:iCs/>
                      <w:color w:val="000000"/>
                      <w:sz w:val="28"/>
                      <w:szCs w:val="28"/>
                    </w:rPr>
                    <w:t>Расшифровка строк формы 0503320 в соответствии с формой 0503373</w:t>
                  </w:r>
                </w:p>
                <w:p w:rsidR="009F54AC" w:rsidRDefault="009F54AC">
                  <w:pPr>
                    <w:rPr>
                      <w:vanish/>
                    </w:rPr>
                  </w:pPr>
                </w:p>
                <w:tbl>
                  <w:tblPr>
                    <w:tblOverlap w:val="never"/>
                    <w:tblW w:w="10738" w:type="dxa"/>
                    <w:jc w:val="center"/>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866"/>
                    <w:gridCol w:w="1372"/>
                    <w:gridCol w:w="1839"/>
                    <w:gridCol w:w="1704"/>
                    <w:gridCol w:w="1704"/>
                    <w:gridCol w:w="3253"/>
                  </w:tblGrid>
                  <w:tr w:rsidR="009F54AC">
                    <w:trPr>
                      <w:jc w:val="center"/>
                    </w:trPr>
                    <w:tc>
                      <w:tcPr>
                        <w:tcW w:w="86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код строки</w:t>
                        </w:r>
                      </w:p>
                    </w:tc>
                    <w:tc>
                      <w:tcPr>
                        <w:tcW w:w="13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наименование</w:t>
                        </w:r>
                      </w:p>
                    </w:tc>
                    <w:tc>
                      <w:tcPr>
                        <w:tcW w:w="183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остаток на 01.01.2024  (отчет за 2023г.)</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остаток на 01.01.2025  (отчет за 2024г.)</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Разница        (форма 0503373)</w:t>
                        </w:r>
                      </w:p>
                    </w:tc>
                    <w:tc>
                      <w:tcPr>
                        <w:tcW w:w="325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пояснение</w:t>
                        </w:r>
                      </w:p>
                    </w:tc>
                  </w:tr>
                  <w:tr w:rsidR="009F54AC">
                    <w:trPr>
                      <w:jc w:val="center"/>
                    </w:trPr>
                    <w:tc>
                      <w:tcPr>
                        <w:tcW w:w="86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070</w:t>
                        </w:r>
                      </w:p>
                    </w:tc>
                    <w:tc>
                      <w:tcPr>
                        <w:tcW w:w="13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Непроизведенные активы (010300000) (остаточная стоимость)</w:t>
                        </w:r>
                      </w:p>
                    </w:tc>
                    <w:tc>
                      <w:tcPr>
                        <w:tcW w:w="183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9 004 537 873,78</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9 309 738 211,63</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+305 200 337,85</w:t>
                        </w:r>
                      </w:p>
                    </w:tc>
                    <w:tc>
                      <w:tcPr>
                        <w:tcW w:w="325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b/>
                            <w:bCs/>
                            <w:color w:val="000000"/>
                            <w:sz w:val="28"/>
                            <w:szCs w:val="28"/>
                          </w:rPr>
                          <w:t>484 473 271,51руб. (</w:t>
                        </w:r>
                        <w:r>
                          <w:rPr>
                            <w:color w:val="000000"/>
                            <w:sz w:val="28"/>
                            <w:szCs w:val="28"/>
                          </w:rPr>
                          <w:t>счет 1.103.11</w:t>
                        </w:r>
                        <w:r>
                          <w:rPr>
                            <w:color w:val="333333"/>
                            <w:sz w:val="28"/>
                            <w:szCs w:val="28"/>
                            <w:shd w:val="clear" w:color="auto" w:fill="FFFFFF"/>
                          </w:rPr>
                          <w:t> «Земля»</w:t>
                        </w:r>
                        <w:r>
                          <w:rPr>
                            <w:b/>
                            <w:bCs/>
                            <w:color w:val="000000"/>
                            <w:sz w:val="28"/>
                            <w:szCs w:val="28"/>
                          </w:rPr>
                          <w:t>) </w:t>
                        </w:r>
                        <w:r>
                          <w:rPr>
                            <w:color w:val="000000"/>
                            <w:sz w:val="28"/>
                            <w:szCs w:val="28"/>
                          </w:rPr>
                          <w:t>приняты к учету земельные участки, полученные в постоянное бессрочное пользование  МКУ Администрацей до 2017 года, выявленные при сверке с ИФНС в 2024 году</w:t>
                        </w:r>
                      </w:p>
                      <w:p w:rsidR="009F54AC" w:rsidRDefault="0059407B">
                        <w:pPr>
                          <w:jc w:val="both"/>
                        </w:pPr>
                        <w:r>
                          <w:rPr>
                            <w:color w:val="000000"/>
                            <w:sz w:val="28"/>
                            <w:szCs w:val="28"/>
                          </w:rPr>
                          <w:t>-179 272 933,66 руб. (счет 1.103.13</w:t>
                        </w:r>
                        <w:r>
                          <w:rPr>
                            <w:color w:val="333333"/>
                            <w:sz w:val="28"/>
                            <w:szCs w:val="28"/>
                            <w:shd w:val="clear" w:color="auto" w:fill="FFFFFF"/>
                          </w:rPr>
                          <w:t> «Прочие непроизведенные активы»</w:t>
                        </w:r>
                        <w:r>
                          <w:rPr>
                            <w:color w:val="000000"/>
                            <w:sz w:val="28"/>
                            <w:szCs w:val="28"/>
                          </w:rPr>
                          <w:t>) уменьшена стоимость земельных участков, отраженных в составе имущества казны.</w:t>
                        </w:r>
                      </w:p>
                    </w:tc>
                  </w:tr>
                  <w:tr w:rsidR="009F54AC">
                    <w:trPr>
                      <w:jc w:val="center"/>
                    </w:trPr>
                    <w:tc>
                      <w:tcPr>
                        <w:tcW w:w="86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120</w:t>
                        </w:r>
                      </w:p>
                    </w:tc>
                    <w:tc>
                      <w:tcPr>
                        <w:tcW w:w="13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Вложения в нефинансовые активы (010600000)</w:t>
                        </w:r>
                      </w:p>
                    </w:tc>
                    <w:tc>
                      <w:tcPr>
                        <w:tcW w:w="183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99 209 946,71</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102 081 537,24</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2 871 590,53</w:t>
                        </w:r>
                      </w:p>
                    </w:tc>
                    <w:tc>
                      <w:tcPr>
                        <w:tcW w:w="325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shd w:val="clear" w:color="auto" w:fill="FFFFFF"/>
                          </w:rPr>
                          <w:t>восстановление в бухгалтерском учете через ошибки прошлых лет затрат на разработку ПИР в сумме 500 000,00 руб. и благоустройство дворовой территории в сумме 2 371 590,53 руб.</w:t>
                        </w:r>
                      </w:p>
                    </w:tc>
                  </w:tr>
                  <w:tr w:rsidR="009F54AC">
                    <w:trPr>
                      <w:jc w:val="center"/>
                    </w:trPr>
                    <w:tc>
                      <w:tcPr>
                        <w:tcW w:w="86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140</w:t>
                        </w:r>
                      </w:p>
                    </w:tc>
                    <w:tc>
                      <w:tcPr>
                        <w:tcW w:w="13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Нефинансовые активы имущест</w:t>
                        </w:r>
                        <w:r>
                          <w:rPr>
                            <w:color w:val="000000"/>
                            <w:sz w:val="28"/>
                            <w:szCs w:val="28"/>
                          </w:rPr>
                          <w:lastRenderedPageBreak/>
                          <w:t>ва казны (010800000) остаточная стоимость</w:t>
                        </w:r>
                      </w:p>
                    </w:tc>
                    <w:tc>
                      <w:tcPr>
                        <w:tcW w:w="183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lastRenderedPageBreak/>
                          <w:t>3 853 100 638,08</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 3 846 462 679,86</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- 6 637 958,22</w:t>
                        </w:r>
                      </w:p>
                    </w:tc>
                    <w:tc>
                      <w:tcPr>
                        <w:tcW w:w="325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center"/>
                        </w:pPr>
                      </w:p>
                    </w:tc>
                  </w:tr>
                  <w:tr w:rsidR="009F54AC">
                    <w:trPr>
                      <w:jc w:val="center"/>
                    </w:trPr>
                    <w:tc>
                      <w:tcPr>
                        <w:tcW w:w="8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9F54AC" w:rsidRDefault="0059407B">
                        <w:pPr>
                          <w:jc w:val="center"/>
                        </w:pPr>
                        <w:r>
                          <w:rPr>
                            <w:color w:val="000000"/>
                            <w:sz w:val="28"/>
                            <w:szCs w:val="28"/>
                          </w:rPr>
                          <w:t>250</w:t>
                        </w:r>
                      </w:p>
                    </w:tc>
                    <w:tc>
                      <w:tcPr>
                        <w:tcW w:w="137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9F54AC" w:rsidRDefault="0059407B">
                        <w:pPr>
                          <w:jc w:val="center"/>
                        </w:pPr>
                        <w:r>
                          <w:rPr>
                            <w:color w:val="000000"/>
                            <w:sz w:val="28"/>
                            <w:szCs w:val="28"/>
                          </w:rPr>
                          <w:t>Дебиторская задолженность по доходам (020500000, 020900000), всего</w:t>
                        </w:r>
                      </w:p>
                    </w:tc>
                    <w:tc>
                      <w:tcPr>
                        <w:tcW w:w="1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9F54AC" w:rsidRDefault="0059407B">
                        <w:pPr>
                          <w:jc w:val="center"/>
                        </w:pPr>
                        <w:r>
                          <w:rPr>
                            <w:color w:val="000000"/>
                            <w:sz w:val="28"/>
                            <w:szCs w:val="28"/>
                          </w:rPr>
                          <w:t>11 488 185 650,55</w:t>
                        </w:r>
                      </w:p>
                    </w:tc>
                    <w:tc>
                      <w:tcPr>
                        <w:tcW w:w="17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9F54AC" w:rsidRDefault="0059407B">
                        <w:pPr>
                          <w:jc w:val="right"/>
                        </w:pPr>
                        <w:r>
                          <w:rPr>
                            <w:color w:val="000000"/>
                            <w:sz w:val="28"/>
                            <w:szCs w:val="28"/>
                          </w:rPr>
                          <w:t>11 509 866 965,96</w:t>
                        </w:r>
                      </w:p>
                    </w:tc>
                    <w:tc>
                      <w:tcPr>
                        <w:tcW w:w="170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9F54AC" w:rsidRDefault="0059407B">
                        <w:pPr>
                          <w:jc w:val="right"/>
                        </w:pPr>
                        <w:r>
                          <w:rPr>
                            <w:color w:val="000000"/>
                            <w:sz w:val="28"/>
                            <w:szCs w:val="28"/>
                          </w:rPr>
                          <w:t>21 681 315,41</w:t>
                        </w:r>
                      </w:p>
                    </w:tc>
                    <w:tc>
                      <w:tcPr>
                        <w:tcW w:w="32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9F54AC" w:rsidRDefault="0059407B">
                        <w:pPr>
                          <w:jc w:val="both"/>
                        </w:pPr>
                        <w:r>
                          <w:rPr>
                            <w:color w:val="000000"/>
                            <w:sz w:val="28"/>
                            <w:szCs w:val="28"/>
                          </w:rPr>
                          <w:t>в связи с передачей Департаменту пространственного развития и архитектуры ХМАО (ГРБС 710) функции департамента строительства и ЖКК (ГРБС 480) полномочий по реализации единой гос. политике в сфере строительства, жилищной сферы, по счету 1.205.51 внесены изменения в остатки на начало года  в сумме 657 214 700,00 рублей.</w:t>
                        </w:r>
                      </w:p>
                      <w:p w:rsidR="009F54AC" w:rsidRDefault="0059407B">
                        <w:pPr>
                          <w:jc w:val="both"/>
                        </w:pPr>
                        <w:r>
                          <w:rPr>
                            <w:color w:val="000000"/>
                            <w:sz w:val="28"/>
                            <w:szCs w:val="28"/>
                          </w:rPr>
                          <w:t>в связи с поздним предоставлением договоров купли – продажи квартир до начислены доходы по счету 205.71 в сумме 2 851 025,00 руб.;</w:t>
                        </w:r>
                      </w:p>
                      <w:p w:rsidR="009F54AC" w:rsidRDefault="0059407B">
                        <w:pPr>
                          <w:jc w:val="both"/>
                        </w:pPr>
                        <w:r>
                          <w:rPr>
                            <w:color w:val="000000"/>
                            <w:sz w:val="28"/>
                            <w:szCs w:val="28"/>
                          </w:rPr>
                          <w:t>в связи с поступлением в 2024 году денежных средств от контрагента в сумме 1245,12 руб. дебиторская задолженность со счета 209.36 перенесена на счет 206.23;</w:t>
                        </w:r>
                      </w:p>
                      <w:p w:rsidR="009F54AC" w:rsidRDefault="0059407B">
                        <w:pPr>
                          <w:jc w:val="both"/>
                        </w:pPr>
                        <w:r>
                          <w:rPr>
                            <w:color w:val="000000"/>
                            <w:sz w:val="28"/>
                            <w:szCs w:val="28"/>
                          </w:rPr>
                          <w:t xml:space="preserve">по результатам проверки Счетно-контрольной палаты г.Пыть-Яха начислены доходы в </w:t>
                        </w:r>
                        <w:r>
                          <w:rPr>
                            <w:color w:val="000000"/>
                            <w:sz w:val="28"/>
                            <w:szCs w:val="28"/>
                          </w:rPr>
                          <w:lastRenderedPageBreak/>
                          <w:t>сумме 18 831 535,53 руб. (в том числе долгосрочная задолженность 10 204 923,01 руб.) по договорам аренды земельных участков, государственная собственность на которые не разграничена через ошибки прошлых лет;</w:t>
                        </w:r>
                      </w:p>
                    </w:tc>
                  </w:tr>
                  <w:tr w:rsidR="009F54AC">
                    <w:trPr>
                      <w:jc w:val="center"/>
                    </w:trPr>
                    <w:tc>
                      <w:tcPr>
                        <w:tcW w:w="86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lastRenderedPageBreak/>
                          <w:t>260</w:t>
                        </w:r>
                      </w:p>
                    </w:tc>
                    <w:tc>
                      <w:tcPr>
                        <w:tcW w:w="13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Дебиторская задолженность по выплатам (020600000, 020800000, 30300000),</w:t>
                        </w:r>
                      </w:p>
                    </w:tc>
                    <w:tc>
                      <w:tcPr>
                        <w:tcW w:w="183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6392286,67</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6393531,79</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1245,12</w:t>
                        </w:r>
                      </w:p>
                    </w:tc>
                    <w:tc>
                      <w:tcPr>
                        <w:tcW w:w="325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в связи с поступлением в 2024 году денежных средств от контрагента в сумме 1245,12 руб. дебиторская задолженность со счета 209.36 перенесена на счет 206.23;</w:t>
                        </w:r>
                      </w:p>
                    </w:tc>
                  </w:tr>
                  <w:tr w:rsidR="009F54AC">
                    <w:trPr>
                      <w:jc w:val="center"/>
                    </w:trPr>
                    <w:tc>
                      <w:tcPr>
                        <w:tcW w:w="86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410</w:t>
                        </w:r>
                      </w:p>
                    </w:tc>
                    <w:tc>
                      <w:tcPr>
                        <w:tcW w:w="13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Кредиторская задолженность по выплатам (030200000, 020800000, </w:t>
                        </w:r>
                      </w:p>
                    </w:tc>
                    <w:tc>
                      <w:tcPr>
                        <w:tcW w:w="183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3 725 986,16</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4 267 252,92</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541 266,76</w:t>
                        </w:r>
                      </w:p>
                    </w:tc>
                    <w:tc>
                      <w:tcPr>
                        <w:tcW w:w="325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В связи с поздним предоставлением первичных документов через ошибки прошлых лет приняты к учету фактические выполненные работы (услуги) за 2023 год с отражением операций по счету </w:t>
                        </w:r>
                      </w:p>
                    </w:tc>
                  </w:tr>
                  <w:tr w:rsidR="009F54AC">
                    <w:trPr>
                      <w:jc w:val="center"/>
                    </w:trPr>
                    <w:tc>
                      <w:tcPr>
                        <w:tcW w:w="86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510</w:t>
                        </w:r>
                      </w:p>
                    </w:tc>
                    <w:tc>
                      <w:tcPr>
                        <w:tcW w:w="137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Доходы будущих периодов (040140000)</w:t>
                        </w:r>
                      </w:p>
                    </w:tc>
                    <w:tc>
                      <w:tcPr>
                        <w:tcW w:w="183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11 423 007 297,28</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11 570 883 710,94</w:t>
                        </w:r>
                      </w:p>
                    </w:tc>
                    <w:tc>
                      <w:tcPr>
                        <w:tcW w:w="1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right"/>
                        </w:pPr>
                        <w:r>
                          <w:rPr>
                            <w:color w:val="000000"/>
                            <w:sz w:val="28"/>
                            <w:szCs w:val="28"/>
                          </w:rPr>
                          <w:t>147 876 413,66</w:t>
                        </w:r>
                      </w:p>
                    </w:tc>
                    <w:tc>
                      <w:tcPr>
                        <w:tcW w:w="325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 xml:space="preserve">отражены доходы будущих периодов по договорам купли продажи квартир в сумме 129 044 878,13 руб., по результатам проверки Счетно-контрольной палаты г.Пыть-Яха начислены доходы в </w:t>
                        </w:r>
                        <w:r>
                          <w:rPr>
                            <w:color w:val="000000"/>
                            <w:sz w:val="28"/>
                            <w:szCs w:val="28"/>
                          </w:rPr>
                          <w:lastRenderedPageBreak/>
                          <w:t>сумме 18 831 535,53 руб. по договорам аренды земельных участков, государственная собственность на которые не разграничена</w:t>
                        </w:r>
                      </w:p>
                      <w:p w:rsidR="009F54AC" w:rsidRDefault="0059407B">
                        <w:pPr>
                          <w:jc w:val="both"/>
                        </w:pPr>
                        <w:r>
                          <w:rPr>
                            <w:color w:val="000000"/>
                            <w:sz w:val="28"/>
                            <w:szCs w:val="28"/>
                          </w:rPr>
                          <w:t>.</w:t>
                        </w:r>
                      </w:p>
                    </w:tc>
                  </w:tr>
                </w:tbl>
                <w:p w:rsidR="009F54AC" w:rsidRDefault="0059407B">
                  <w:pPr>
                    <w:jc w:val="both"/>
                  </w:pPr>
                  <w:r>
                    <w:rPr>
                      <w:b/>
                      <w:bCs/>
                      <w:i/>
                      <w:iCs/>
                      <w:color w:val="000000"/>
                      <w:sz w:val="28"/>
                      <w:szCs w:val="28"/>
                    </w:rPr>
                    <w:lastRenderedPageBreak/>
                    <w:t>Сведения о движении нефинансовых активов консолидированного бюджета форма (0503368)</w:t>
                  </w:r>
                </w:p>
                <w:p w:rsidR="009F54AC" w:rsidRDefault="0059407B">
                  <w:pPr>
                    <w:ind w:firstLine="700"/>
                    <w:jc w:val="both"/>
                  </w:pPr>
                  <w:r>
                    <w:rPr>
                      <w:color w:val="000000"/>
                      <w:sz w:val="28"/>
                      <w:szCs w:val="28"/>
                    </w:rPr>
                    <w:t>В сведениях о движении нефинансовых активов на начало и конец отчетного периода отражено имущество, переданное в оперативное управление муниципальным казенным учреждениям, а также нефинансовые активы, составляющие имущество муниципальной казны муниципального образования городской округ город Пыть-Ях.  </w:t>
                  </w:r>
                </w:p>
                <w:p w:rsidR="009F54AC" w:rsidRDefault="0059407B">
                  <w:pPr>
                    <w:ind w:firstLine="700"/>
                    <w:jc w:val="both"/>
                  </w:pPr>
                  <w:r>
                    <w:rPr>
                      <w:i/>
                      <w:iCs/>
                      <w:color w:val="000000"/>
                      <w:sz w:val="28"/>
                      <w:szCs w:val="28"/>
                      <w:shd w:val="clear" w:color="auto" w:fill="FFFFFF"/>
                    </w:rPr>
                    <w:t>В соответствии с Федеральным стандартом бухгалтерского учета для организаций государственного сектора об исправлении ошибок в бухгалтерской (финансовой) отчетности, утвержденного Приказом Минфина РФ от 30.12.2017 № 274н (далее – СГС- исправление ошибок)</w:t>
                  </w:r>
                  <w:r>
                    <w:rPr>
                      <w:color w:val="000000"/>
                      <w:sz w:val="28"/>
                      <w:szCs w:val="28"/>
                    </w:rPr>
                    <w:t xml:space="preserve">, </w:t>
                  </w:r>
                  <w:r>
                    <w:rPr>
                      <w:i/>
                      <w:iCs/>
                      <w:color w:val="000000"/>
                      <w:sz w:val="28"/>
                      <w:szCs w:val="28"/>
                      <w:shd w:val="clear" w:color="auto" w:fill="FFFFFF"/>
                    </w:rPr>
                    <w:t>Федеральным стандартом бухгалтерского учета для организаций государственного сектора</w:t>
                  </w:r>
                  <w:r>
                    <w:rPr>
                      <w:color w:val="000000"/>
                      <w:sz w:val="28"/>
                      <w:szCs w:val="28"/>
                    </w:rPr>
                    <w:t xml:space="preserve"> «Непроизведенные активы» </w:t>
                  </w:r>
                  <w:r>
                    <w:rPr>
                      <w:i/>
                      <w:iCs/>
                      <w:color w:val="000000"/>
                      <w:sz w:val="28"/>
                      <w:szCs w:val="28"/>
                      <w:shd w:val="clear" w:color="auto" w:fill="FFFFFF"/>
                    </w:rPr>
                    <w:t>утвержденного Приказом Минфина РФ </w:t>
                  </w:r>
                  <w:r>
                    <w:rPr>
                      <w:color w:val="000000"/>
                      <w:sz w:val="28"/>
                      <w:szCs w:val="28"/>
                    </w:rPr>
                    <w:t>от 28.02.20218 №34н</w:t>
                  </w:r>
                  <w:r>
                    <w:rPr>
                      <w:b/>
                      <w:bCs/>
                      <w:color w:val="000000"/>
                      <w:sz w:val="28"/>
                      <w:szCs w:val="28"/>
                    </w:rPr>
                    <w:t> внесены изменения в остатки валюты баланса по счетам 010300000  «Непроизведенные активы», 010600000 «Вложения в нефинансовые активы», 010800000 «Нефинансовые активы имущества казны (010800000) остаточная стоимость», з/сч 25 «Имущество, переданное в возмездное пользование»</w:t>
                  </w:r>
                </w:p>
                <w:p w:rsidR="009F54AC" w:rsidRDefault="0059407B">
                  <w:pPr>
                    <w:jc w:val="both"/>
                  </w:pPr>
                  <w:r>
                    <w:rPr>
                      <w:b/>
                      <w:bCs/>
                      <w:color w:val="000000"/>
                      <w:sz w:val="28"/>
                      <w:szCs w:val="28"/>
                    </w:rPr>
                    <w:t>Причины изменений приведены в таблице «</w:t>
                  </w:r>
                  <w:r>
                    <w:rPr>
                      <w:b/>
                      <w:bCs/>
                      <w:i/>
                      <w:iCs/>
                      <w:color w:val="000000"/>
                      <w:sz w:val="28"/>
                      <w:szCs w:val="28"/>
                    </w:rPr>
                    <w:t>Расшифровка строк формы 0503320 в соответствии с формой 0503373»</w:t>
                  </w:r>
                </w:p>
                <w:p w:rsidR="009F54AC" w:rsidRDefault="0059407B">
                  <w:pPr>
                    <w:ind w:firstLine="700"/>
                    <w:jc w:val="center"/>
                  </w:pPr>
                  <w:r>
                    <w:rPr>
                      <w:b/>
                      <w:bCs/>
                      <w:color w:val="000000"/>
                      <w:sz w:val="28"/>
                      <w:szCs w:val="28"/>
                    </w:rPr>
                    <w:t>Раздел 2. «Нефинансовые активы, составляющие имущество казны».</w:t>
                  </w:r>
                </w:p>
                <w:p w:rsidR="009F54AC" w:rsidRDefault="0059407B">
                  <w:pPr>
                    <w:ind w:firstLine="700"/>
                    <w:jc w:val="both"/>
                  </w:pPr>
                  <w:r>
                    <w:rPr>
                      <w:color w:val="000000"/>
                      <w:sz w:val="28"/>
                      <w:szCs w:val="28"/>
                    </w:rPr>
                    <w:t xml:space="preserve">За 2024 год </w:t>
                  </w:r>
                  <w:r>
                    <w:rPr>
                      <w:b/>
                      <w:bCs/>
                      <w:color w:val="000000"/>
                      <w:sz w:val="28"/>
                      <w:szCs w:val="28"/>
                    </w:rPr>
                    <w:t>поступление</w:t>
                  </w:r>
                  <w:r>
                    <w:rPr>
                      <w:color w:val="000000"/>
                      <w:sz w:val="28"/>
                      <w:szCs w:val="28"/>
                    </w:rPr>
                    <w:t xml:space="preserve"> </w:t>
                  </w:r>
                  <w:r>
                    <w:rPr>
                      <w:b/>
                      <w:bCs/>
                      <w:color w:val="000000"/>
                      <w:sz w:val="28"/>
                      <w:szCs w:val="28"/>
                    </w:rPr>
                    <w:t>недвижимого имущества</w:t>
                  </w:r>
                  <w:r>
                    <w:rPr>
                      <w:color w:val="000000"/>
                      <w:sz w:val="28"/>
                      <w:szCs w:val="28"/>
                    </w:rPr>
                    <w:t xml:space="preserve"> в казну составило 469 405 996,08 руб.</w:t>
                  </w:r>
                </w:p>
                <w:p w:rsidR="009F54AC" w:rsidRDefault="0059407B">
                  <w:pPr>
                    <w:ind w:firstLine="700"/>
                    <w:jc w:val="both"/>
                  </w:pPr>
                  <w:r>
                    <w:rPr>
                      <w:b/>
                      <w:bCs/>
                      <w:color w:val="000000"/>
                      <w:sz w:val="28"/>
                      <w:szCs w:val="28"/>
                    </w:rPr>
                    <w:t>Получено безвозмездно 131 090 971,02</w:t>
                  </w:r>
                  <w:r>
                    <w:rPr>
                      <w:color w:val="000000"/>
                      <w:sz w:val="28"/>
                      <w:szCs w:val="28"/>
                    </w:rPr>
                    <w:t> руб. из них:</w:t>
                  </w:r>
                </w:p>
                <w:p w:rsidR="009F54AC" w:rsidRDefault="0059407B">
                  <w:pPr>
                    <w:ind w:firstLine="700"/>
                    <w:jc w:val="both"/>
                  </w:pPr>
                  <w:r>
                    <w:rPr>
                      <w:color w:val="000000"/>
                      <w:sz w:val="28"/>
                      <w:szCs w:val="28"/>
                    </w:rPr>
                    <w:t>-Жилых помещений на сумму 95 421 248,00 руб.</w:t>
                  </w:r>
                </w:p>
                <w:p w:rsidR="009F54AC" w:rsidRDefault="0059407B">
                  <w:pPr>
                    <w:ind w:firstLine="700"/>
                    <w:jc w:val="both"/>
                  </w:pPr>
                  <w:r>
                    <w:rPr>
                      <w:color w:val="000000"/>
                      <w:sz w:val="28"/>
                      <w:szCs w:val="28"/>
                    </w:rPr>
                    <w:t>-Нежилых помещений (гараж) в сумме  24 468 844,60 руб.</w:t>
                  </w:r>
                </w:p>
                <w:p w:rsidR="009F54AC" w:rsidRDefault="0059407B">
                  <w:pPr>
                    <w:ind w:firstLine="700"/>
                    <w:jc w:val="both"/>
                  </w:pPr>
                  <w:r>
                    <w:rPr>
                      <w:color w:val="000000"/>
                      <w:sz w:val="28"/>
                      <w:szCs w:val="28"/>
                    </w:rPr>
                    <w:t>-Увеличение балансовой стоимости объектов в сумме 10 981 303,42 руб</w:t>
                  </w:r>
                </w:p>
                <w:p w:rsidR="009F54AC" w:rsidRDefault="0059407B">
                  <w:pPr>
                    <w:ind w:firstLine="700"/>
                    <w:jc w:val="both"/>
                  </w:pPr>
                  <w:r>
                    <w:rPr>
                      <w:color w:val="000000"/>
                      <w:sz w:val="28"/>
                      <w:szCs w:val="28"/>
                    </w:rPr>
                    <w:t>Автомобильной дороги от ПАО «НК Роснефть» 219 575,00 руб.</w:t>
                  </w:r>
                </w:p>
                <w:p w:rsidR="009F54AC" w:rsidRDefault="0059407B">
                  <w:pPr>
                    <w:ind w:firstLine="700"/>
                    <w:jc w:val="both"/>
                  </w:pPr>
                  <w:r>
                    <w:rPr>
                      <w:b/>
                      <w:bCs/>
                      <w:color w:val="000000"/>
                      <w:sz w:val="28"/>
                      <w:szCs w:val="28"/>
                    </w:rPr>
                    <w:t>Иные поступления имущества казны составили 338 314 689,06</w:t>
                  </w:r>
                  <w:r>
                    <w:rPr>
                      <w:color w:val="000000"/>
                      <w:sz w:val="28"/>
                      <w:szCs w:val="28"/>
                    </w:rPr>
                    <w:t> руб., из них:</w:t>
                  </w:r>
                </w:p>
                <w:p w:rsidR="009F54AC" w:rsidRDefault="0059407B">
                  <w:pPr>
                    <w:ind w:firstLine="700"/>
                    <w:jc w:val="both"/>
                  </w:pPr>
                  <w:r>
                    <w:rPr>
                      <w:color w:val="000000"/>
                      <w:sz w:val="28"/>
                      <w:szCs w:val="28"/>
                    </w:rPr>
                    <w:t>- 22 610 707,48 руб. – разукомплектование (реклассификация) основных средств;</w:t>
                  </w:r>
                </w:p>
                <w:p w:rsidR="009F54AC" w:rsidRDefault="0059407B">
                  <w:pPr>
                    <w:ind w:firstLine="700"/>
                    <w:jc w:val="both"/>
                  </w:pPr>
                  <w:r>
                    <w:rPr>
                      <w:color w:val="000000"/>
                      <w:sz w:val="28"/>
                      <w:szCs w:val="28"/>
                    </w:rPr>
                    <w:t>- 76 302 252,00 руб. – оценка рыночной стоимости недвижимого имущества;</w:t>
                  </w:r>
                </w:p>
                <w:p w:rsidR="009F54AC" w:rsidRDefault="0059407B">
                  <w:pPr>
                    <w:ind w:firstLine="700"/>
                    <w:jc w:val="both"/>
                  </w:pPr>
                  <w:r>
                    <w:rPr>
                      <w:color w:val="000000"/>
                      <w:sz w:val="28"/>
                      <w:szCs w:val="28"/>
                    </w:rPr>
                    <w:t>- 239 065 982,25 руб. – переоценка до справедливой стоимости при выбытии недвижимого имущества на сторону, за исключением организаций бюджетной сферы;</w:t>
                  </w:r>
                </w:p>
                <w:p w:rsidR="009F54AC" w:rsidRDefault="0059407B">
                  <w:pPr>
                    <w:ind w:firstLine="700"/>
                    <w:jc w:val="both"/>
                  </w:pPr>
                  <w:r>
                    <w:rPr>
                      <w:color w:val="000000"/>
                      <w:sz w:val="28"/>
                      <w:szCs w:val="28"/>
                    </w:rPr>
                    <w:t>- 335 915, 33 руб. – перевод с концессии объекта уличного освещения.</w:t>
                  </w:r>
                </w:p>
                <w:p w:rsidR="009F54AC" w:rsidRDefault="0059407B">
                  <w:pPr>
                    <w:ind w:firstLine="700"/>
                    <w:jc w:val="both"/>
                  </w:pPr>
                  <w:r>
                    <w:rPr>
                      <w:color w:val="000000"/>
                      <w:sz w:val="28"/>
                      <w:szCs w:val="28"/>
                    </w:rPr>
                    <w:t>-168,00 руб.-оприходовано неучтенных (восстановлено в учете)</w:t>
                  </w:r>
                  <w:r>
                    <w:rPr>
                      <w:b/>
                      <w:bCs/>
                      <w:color w:val="000000"/>
                      <w:sz w:val="28"/>
                      <w:szCs w:val="28"/>
                    </w:rPr>
                    <w:t> </w:t>
                  </w:r>
                  <w:r>
                    <w:rPr>
                      <w:color w:val="000000"/>
                      <w:sz w:val="28"/>
                      <w:szCs w:val="28"/>
                    </w:rPr>
                    <w:t>объектов</w:t>
                  </w:r>
                  <w:r>
                    <w:rPr>
                      <w:b/>
                      <w:bCs/>
                      <w:color w:val="000000"/>
                      <w:sz w:val="28"/>
                      <w:szCs w:val="28"/>
                    </w:rPr>
                    <w:t> </w:t>
                  </w:r>
                  <w:r>
                    <w:rPr>
                      <w:color w:val="000000"/>
                      <w:sz w:val="28"/>
                      <w:szCs w:val="28"/>
                    </w:rPr>
                    <w:t>(бесхозяйного имущества -сооружения коммунального хозяйства, автомобильные дороги).</w:t>
                  </w:r>
                </w:p>
                <w:p w:rsidR="009F54AC" w:rsidRDefault="0059407B">
                  <w:pPr>
                    <w:ind w:firstLine="700"/>
                    <w:jc w:val="both"/>
                  </w:pPr>
                  <w:r>
                    <w:rPr>
                      <w:b/>
                      <w:bCs/>
                      <w:color w:val="000000"/>
                      <w:sz w:val="28"/>
                      <w:szCs w:val="28"/>
                    </w:rPr>
                    <w:lastRenderedPageBreak/>
                    <w:t>Выбытие недвижимого имущества казны за 2024 г</w:t>
                  </w:r>
                  <w:r>
                    <w:rPr>
                      <w:color w:val="000000"/>
                      <w:sz w:val="28"/>
                      <w:szCs w:val="28"/>
                    </w:rPr>
                    <w:t>. составило 609 311 605,47 руб.</w:t>
                  </w:r>
                </w:p>
                <w:p w:rsidR="009F54AC" w:rsidRDefault="0059407B">
                  <w:pPr>
                    <w:ind w:firstLine="700"/>
                    <w:jc w:val="both"/>
                  </w:pPr>
                  <w:r>
                    <w:rPr>
                      <w:color w:val="000000"/>
                      <w:sz w:val="28"/>
                      <w:szCs w:val="28"/>
                    </w:rPr>
                    <w:t>Передано безвозмездно в сумме 23 663 248,01 руб. из них:</w:t>
                  </w:r>
                </w:p>
                <w:p w:rsidR="009F54AC" w:rsidRDefault="0059407B">
                  <w:pPr>
                    <w:ind w:firstLine="700"/>
                    <w:jc w:val="both"/>
                  </w:pPr>
                  <w:r>
                    <w:rPr>
                      <w:color w:val="000000"/>
                      <w:sz w:val="28"/>
                      <w:szCs w:val="28"/>
                    </w:rPr>
                    <w:t>-Нежилые помещения и здания в казенные, бюджетные и автономные учреждения в сумме 23 466 022,01 руб.;</w:t>
                  </w:r>
                </w:p>
                <w:p w:rsidR="009F54AC" w:rsidRDefault="0059407B">
                  <w:pPr>
                    <w:ind w:firstLine="700"/>
                    <w:jc w:val="both"/>
                  </w:pPr>
                  <w:r>
                    <w:rPr>
                      <w:color w:val="000000"/>
                      <w:sz w:val="28"/>
                      <w:szCs w:val="28"/>
                    </w:rPr>
                    <w:t>- Нефтяная насосная передана в МУП УГХ в сумме 197 226, 00 руб</w:t>
                  </w:r>
                </w:p>
                <w:p w:rsidR="009F54AC" w:rsidRDefault="0059407B">
                  <w:pPr>
                    <w:ind w:firstLine="700"/>
                    <w:jc w:val="both"/>
                  </w:pPr>
                  <w:r>
                    <w:rPr>
                      <w:color w:val="000000"/>
                      <w:sz w:val="28"/>
                      <w:szCs w:val="28"/>
                    </w:rPr>
                    <w:t>Прочее выбытие составило 585 648 358,46 руб. из них:</w:t>
                  </w:r>
                </w:p>
                <w:p w:rsidR="009F54AC" w:rsidRDefault="0059407B">
                  <w:pPr>
                    <w:ind w:firstLine="700"/>
                    <w:jc w:val="both"/>
                  </w:pPr>
                  <w:r>
                    <w:rPr>
                      <w:color w:val="000000"/>
                      <w:sz w:val="28"/>
                      <w:szCs w:val="28"/>
                    </w:rPr>
                    <w:t>- 96 288 159,47 руб. - выбытие жилых помещений в связи со сносом, приватизацией (списание амортизации);</w:t>
                  </w:r>
                </w:p>
                <w:p w:rsidR="009F54AC" w:rsidRDefault="0059407B">
                  <w:pPr>
                    <w:ind w:firstLine="700"/>
                    <w:jc w:val="both"/>
                  </w:pPr>
                  <w:r>
                    <w:rPr>
                      <w:color w:val="000000"/>
                      <w:sz w:val="28"/>
                      <w:szCs w:val="28"/>
                    </w:rPr>
                    <w:t>- 104 198 065,93 руб. - выбытие нежилых помещений, сетей коммунального назначения (списание амортизации);</w:t>
                  </w:r>
                </w:p>
                <w:p w:rsidR="009F54AC" w:rsidRDefault="0059407B">
                  <w:pPr>
                    <w:ind w:firstLine="700"/>
                    <w:jc w:val="both"/>
                  </w:pPr>
                  <w:r>
                    <w:rPr>
                      <w:color w:val="000000"/>
                      <w:sz w:val="28"/>
                      <w:szCs w:val="28"/>
                    </w:rPr>
                    <w:t>- 385 162 133,06 руб. - выбытие недвижимого имущества, в связи с приватизацией, договорами купли-продажи, разукомплектования, списания, внутреннего перемещения между счетами (списание остаточной стоимости).</w:t>
                  </w:r>
                </w:p>
                <w:p w:rsidR="009F54AC" w:rsidRDefault="0059407B">
                  <w:pPr>
                    <w:ind w:firstLine="700"/>
                    <w:jc w:val="both"/>
                  </w:pPr>
                  <w:r>
                    <w:rPr>
                      <w:color w:val="000000"/>
                      <w:sz w:val="28"/>
                      <w:szCs w:val="28"/>
                    </w:rPr>
                    <w:t>Амортизация недвижимого имущества в составе имущества казны в течении 2024 года составила 160 920 780,50 руб.</w:t>
                  </w:r>
                </w:p>
                <w:p w:rsidR="009F54AC" w:rsidRDefault="0059407B">
                  <w:pPr>
                    <w:ind w:firstLine="700"/>
                    <w:jc w:val="both"/>
                  </w:pPr>
                  <w:r>
                    <w:rPr>
                      <w:b/>
                      <w:bCs/>
                      <w:color w:val="000000"/>
                      <w:sz w:val="28"/>
                      <w:szCs w:val="28"/>
                    </w:rPr>
                    <w:t>Поступление движимого имущества за 2024 г. составило 227 898 705,49 руб</w:t>
                  </w:r>
                  <w:r>
                    <w:rPr>
                      <w:color w:val="000000"/>
                      <w:sz w:val="28"/>
                      <w:szCs w:val="28"/>
                    </w:rPr>
                    <w:t>. </w:t>
                  </w:r>
                </w:p>
                <w:p w:rsidR="009F54AC" w:rsidRDefault="0059407B">
                  <w:pPr>
                    <w:ind w:firstLine="700"/>
                    <w:jc w:val="both"/>
                  </w:pPr>
                  <w:r>
                    <w:rPr>
                      <w:color w:val="000000"/>
                      <w:sz w:val="28"/>
                      <w:szCs w:val="28"/>
                    </w:rPr>
                    <w:t>Получено безвозмездно 205 383 407,73 руб. из них:</w:t>
                  </w:r>
                </w:p>
                <w:p w:rsidR="009F54AC" w:rsidRDefault="0059407B">
                  <w:pPr>
                    <w:ind w:firstLine="700"/>
                    <w:jc w:val="both"/>
                  </w:pPr>
                  <w:r>
                    <w:rPr>
                      <w:color w:val="000000"/>
                      <w:sz w:val="28"/>
                      <w:szCs w:val="28"/>
                    </w:rPr>
                    <w:t>- 172 522 674,06 руб. - оборудование, инвентарь, объекты благоустройства, учебники;</w:t>
                  </w:r>
                </w:p>
                <w:p w:rsidR="009F54AC" w:rsidRDefault="0059407B">
                  <w:pPr>
                    <w:ind w:firstLine="700"/>
                    <w:jc w:val="both"/>
                  </w:pPr>
                  <w:r>
                    <w:rPr>
                      <w:color w:val="000000"/>
                      <w:sz w:val="28"/>
                      <w:szCs w:val="28"/>
                    </w:rPr>
                    <w:t>     - 32 860 733,67 руб. – транспортные средства коммунального назначения;</w:t>
                  </w:r>
                </w:p>
                <w:p w:rsidR="009F54AC" w:rsidRDefault="0059407B">
                  <w:pPr>
                    <w:ind w:firstLine="700"/>
                    <w:jc w:val="both"/>
                  </w:pPr>
                  <w:r>
                    <w:rPr>
                      <w:color w:val="000000"/>
                      <w:sz w:val="28"/>
                      <w:szCs w:val="28"/>
                    </w:rPr>
                    <w:t>Оприходовано неучтенных (восстановлено в учете) объектов имущества в сумме 10 096 629,96 руб.: принятие к учету футбольного поля, детских площадок, спортивное ядро и спортивное оборудование. </w:t>
                  </w:r>
                </w:p>
                <w:p w:rsidR="009F54AC" w:rsidRDefault="0059407B">
                  <w:pPr>
                    <w:ind w:firstLine="700"/>
                    <w:jc w:val="both"/>
                  </w:pPr>
                  <w:r>
                    <w:rPr>
                      <w:color w:val="000000"/>
                      <w:sz w:val="28"/>
                      <w:szCs w:val="28"/>
                    </w:rPr>
                    <w:t>Прочее поступление движимого имущества в сумме 12 418 667,80 руб. (оценка движимого имущества при реализации на сторону; внутреннее перемещение между счетами, разукомплектование).</w:t>
                  </w:r>
                </w:p>
                <w:p w:rsidR="009F54AC" w:rsidRDefault="0059407B">
                  <w:pPr>
                    <w:ind w:firstLine="700"/>
                    <w:jc w:val="both"/>
                  </w:pPr>
                  <w:r>
                    <w:rPr>
                      <w:b/>
                      <w:bCs/>
                      <w:color w:val="000000"/>
                      <w:sz w:val="28"/>
                      <w:szCs w:val="28"/>
                    </w:rPr>
                    <w:t>Выбытие движимого имущества казны</w:t>
                  </w:r>
                  <w:r>
                    <w:rPr>
                      <w:color w:val="000000"/>
                      <w:sz w:val="28"/>
                      <w:szCs w:val="28"/>
                    </w:rPr>
                    <w:t>  за 2024 г. составило 115 193 893,50 руб.</w:t>
                  </w:r>
                </w:p>
                <w:p w:rsidR="009F54AC" w:rsidRDefault="0059407B">
                  <w:pPr>
                    <w:ind w:firstLine="700"/>
                    <w:jc w:val="both"/>
                  </w:pPr>
                  <w:r>
                    <w:rPr>
                      <w:color w:val="000000"/>
                      <w:sz w:val="28"/>
                      <w:szCs w:val="28"/>
                    </w:rPr>
                    <w:t>Передано безвозмездно движимого имущества в сумме 84 251 296,27 руб. (оборудование, инвентарь, проектно-сметная документация).</w:t>
                  </w:r>
                </w:p>
                <w:p w:rsidR="009F54AC" w:rsidRDefault="0059407B">
                  <w:pPr>
                    <w:ind w:firstLine="700"/>
                    <w:jc w:val="both"/>
                  </w:pPr>
                  <w:r>
                    <w:rPr>
                      <w:color w:val="000000"/>
                      <w:sz w:val="28"/>
                      <w:szCs w:val="28"/>
                    </w:rPr>
                    <w:t>Прочее выбытие движимого имущества составило 30 942 597,23 руб. (списание имущества казны (списание амортизации), списание остаточной стоимости, разу- комплектация, внутреннее перемещение).</w:t>
                  </w:r>
                </w:p>
                <w:p w:rsidR="009F54AC" w:rsidRDefault="0059407B">
                  <w:pPr>
                    <w:ind w:firstLine="700"/>
                    <w:jc w:val="both"/>
                  </w:pPr>
                  <w:r>
                    <w:rPr>
                      <w:color w:val="000000"/>
                      <w:sz w:val="28"/>
                      <w:szCs w:val="28"/>
                    </w:rPr>
                    <w:t> Стоимость «Нематериальные активы в составе имущества казны» по состоянию на 01.01.2025 составляет 1 184 715,00 руб.</w:t>
                  </w:r>
                </w:p>
                <w:p w:rsidR="009F54AC" w:rsidRDefault="0059407B">
                  <w:pPr>
                    <w:spacing w:after="80"/>
                    <w:ind w:firstLine="700"/>
                    <w:jc w:val="both"/>
                  </w:pPr>
                  <w:r>
                    <w:rPr>
                      <w:b/>
                      <w:bCs/>
                      <w:color w:val="000000"/>
                      <w:sz w:val="28"/>
                      <w:szCs w:val="28"/>
                      <w:shd w:val="clear" w:color="auto" w:fill="FFFFFF"/>
                    </w:rPr>
                    <w:t>Непроизведенные активы</w:t>
                  </w:r>
                  <w:r>
                    <w:rPr>
                      <w:color w:val="000000"/>
                      <w:sz w:val="28"/>
                      <w:szCs w:val="28"/>
                      <w:shd w:val="clear" w:color="auto" w:fill="FFFFFF"/>
                    </w:rPr>
                    <w:t xml:space="preserve"> в составе имущества казны» по состоянию на 01.01.2025 составляет 1 479 153 109,25 руб. </w:t>
                  </w:r>
                </w:p>
                <w:p w:rsidR="009F54AC" w:rsidRDefault="0059407B">
                  <w:pPr>
                    <w:spacing w:after="80"/>
                    <w:ind w:firstLine="720"/>
                    <w:jc w:val="both"/>
                  </w:pPr>
                  <w:r>
                    <w:rPr>
                      <w:color w:val="000000"/>
                      <w:sz w:val="28"/>
                      <w:szCs w:val="28"/>
                      <w:shd w:val="clear" w:color="auto" w:fill="FFFFFF"/>
                    </w:rPr>
                    <w:t>Поступление за 2024 год составило 367 327 387,99 руб. (поступление земельного участка от учреждений, оформление права собственности на земельные участки за муниципальным учреждением, изменение кадастровой стоимости земельных участков)</w:t>
                  </w:r>
                </w:p>
                <w:p w:rsidR="009F54AC" w:rsidRDefault="0059407B">
                  <w:pPr>
                    <w:spacing w:after="80"/>
                    <w:ind w:firstLine="720"/>
                    <w:jc w:val="both"/>
                  </w:pPr>
                  <w:r>
                    <w:rPr>
                      <w:color w:val="000000"/>
                      <w:sz w:val="28"/>
                      <w:szCs w:val="28"/>
                    </w:rPr>
                    <w:lastRenderedPageBreak/>
                    <w:t>Выбытие непроизведенных активов за 2024 год составило 35 102 178,07 руб., (выбытие по договорам купли-продажи; оценка стоимости в связи с выбытием на сторону изменение кадастровой стоимости земельных участков, передача земельных участков учреждениям)</w:t>
                  </w:r>
                </w:p>
                <w:p w:rsidR="009F54AC" w:rsidRDefault="0059407B">
                  <w:pPr>
                    <w:ind w:firstLine="700"/>
                    <w:jc w:val="both"/>
                  </w:pPr>
                  <w:r>
                    <w:rPr>
                      <w:b/>
                      <w:bCs/>
                      <w:color w:val="000000"/>
                      <w:sz w:val="28"/>
                      <w:szCs w:val="28"/>
                    </w:rPr>
                    <w:t>«Материальные запасы в составе имущества казны»</w:t>
                  </w:r>
                  <w:r>
                    <w:rPr>
                      <w:color w:val="000000"/>
                      <w:sz w:val="28"/>
                      <w:szCs w:val="28"/>
                    </w:rPr>
                    <w:t> по состоянию на 01.01.2025 стоимость материальных запасов 8 780 378,02 руб.</w:t>
                  </w:r>
                </w:p>
                <w:p w:rsidR="009F54AC" w:rsidRDefault="0059407B">
                  <w:pPr>
                    <w:ind w:firstLine="700"/>
                    <w:jc w:val="both"/>
                  </w:pPr>
                  <w:r>
                    <w:rPr>
                      <w:b/>
                      <w:bCs/>
                      <w:color w:val="000000"/>
                      <w:sz w:val="28"/>
                      <w:szCs w:val="28"/>
                    </w:rPr>
                    <w:t>«Имущество казны в концессии»</w:t>
                  </w:r>
                  <w:r>
                    <w:rPr>
                      <w:color w:val="000000"/>
                      <w:sz w:val="28"/>
                      <w:szCs w:val="28"/>
                    </w:rPr>
                    <w:t xml:space="preserve"> на 01.01.2025 составляет 113 268 727,73 руб., из них недвижимое – 101 089 356,66 руб., движимое – 12 179 371,07 руб.</w:t>
                  </w:r>
                </w:p>
                <w:p w:rsidR="009F54AC" w:rsidRDefault="0059407B">
                  <w:pPr>
                    <w:ind w:firstLine="700"/>
                    <w:jc w:val="both"/>
                  </w:pPr>
                  <w:r>
                    <w:rPr>
                      <w:color w:val="000000"/>
                      <w:sz w:val="28"/>
                      <w:szCs w:val="28"/>
                    </w:rPr>
                    <w:t>За 2024 год увеличилась балансовая стоимости имущества, переданного в концессию на основании акта об исполнения обязательств от 29.09.2023 и распоряжения администрации города от 16.09.2024 № 1737-ра «Об увеличении балансовой стоимости объектов уличного освещения». Суммы по поступлению приняты безвозмездно от МКУ «Администрация города Пыть-Яха» на сумму 37 783 230,45 руб.</w:t>
                  </w:r>
                </w:p>
                <w:p w:rsidR="009F54AC" w:rsidRDefault="0059407B">
                  <w:pPr>
                    <w:ind w:firstLine="700"/>
                    <w:jc w:val="both"/>
                  </w:pPr>
                  <w:r>
                    <w:rPr>
                      <w:color w:val="000000"/>
                      <w:sz w:val="28"/>
                      <w:szCs w:val="28"/>
                    </w:rPr>
                    <w:t>Выбытие недвижимого имущества, переданного в концессию составляет 335 915,33 руб. По акту приема-передачи от 10.10.2024, подписанного ОАО «ЮТЭК-Региональные сети» и МКУ «Администрация города Пыть-Яха», произошло выбытие из концессионного соглашения одного объекта уличного освещения.</w:t>
                  </w:r>
                </w:p>
                <w:p w:rsidR="009F54AC" w:rsidRDefault="0059407B">
                  <w:pPr>
                    <w:ind w:firstLine="700"/>
                    <w:jc w:val="both"/>
                  </w:pPr>
                  <w:r>
                    <w:rPr>
                      <w:color w:val="000000"/>
                      <w:sz w:val="28"/>
                      <w:szCs w:val="28"/>
                    </w:rPr>
                    <w:t>На конец года амортизация имущества в концессии составляет – 57 984 924,65 руб.</w:t>
                  </w:r>
                </w:p>
                <w:p w:rsidR="009F54AC" w:rsidRDefault="0059407B">
                  <w:pPr>
                    <w:ind w:firstLine="700"/>
                    <w:jc w:val="center"/>
                  </w:pPr>
                  <w:r>
                    <w:rPr>
                      <w:b/>
                      <w:bCs/>
                      <w:color w:val="000000"/>
                      <w:sz w:val="28"/>
                      <w:szCs w:val="28"/>
                    </w:rPr>
                    <w:t>Раздел 3.1. «Движение материальных ценностей имущества казны на забалансовых счетах»</w:t>
                  </w:r>
                </w:p>
                <w:p w:rsidR="009F54AC" w:rsidRDefault="0059407B">
                  <w:pPr>
                    <w:ind w:firstLine="560"/>
                    <w:jc w:val="both"/>
                  </w:pPr>
                  <w:r>
                    <w:rPr>
                      <w:color w:val="000000"/>
                      <w:sz w:val="28"/>
                      <w:szCs w:val="28"/>
                    </w:rPr>
                    <w:t>По забалансовому счету 01 «Имущество, полученное в пользование» в течении 2024 года выбытие   недвижимого имущества составило 251 148,47 руб.</w:t>
                  </w:r>
                </w:p>
                <w:p w:rsidR="009F54AC" w:rsidRDefault="0059407B">
                  <w:pPr>
                    <w:ind w:firstLine="540"/>
                    <w:jc w:val="both"/>
                  </w:pPr>
                  <w:r>
                    <w:rPr>
                      <w:color w:val="000000"/>
                      <w:sz w:val="28"/>
                      <w:szCs w:val="28"/>
                    </w:rPr>
                    <w:t>По забалансовому счету 02 «Материальные ценности на хранении» по коду за 2024 г. поступило основных средства в сумме 395,11 руб.: 15,00 руб.- поставленные на учет в качестве бесхозяйных (коммунальные объекты, дороги, детские площадки), 380,11 руб. – списанные нефинансовые активы. Выбыло за 2024 г. 599,11 руб., из них – 187,00 руб.: в связи с принятием в муниципальную собственность бесхозяйные объекты (дороги, инженерные сети, детские площадки), 412,11 руб.- выбытие не активов.</w:t>
                  </w:r>
                </w:p>
                <w:p w:rsidR="009F54AC" w:rsidRDefault="0059407B">
                  <w:pPr>
                    <w:ind w:firstLine="700"/>
                    <w:jc w:val="both"/>
                  </w:pPr>
                  <w:r>
                    <w:rPr>
                      <w:color w:val="000000"/>
                      <w:sz w:val="28"/>
                      <w:szCs w:val="28"/>
                    </w:rPr>
                    <w:t>По забалансовому счету 25 «Имущество, переданное в возмездное пользование» за 2024 г.поступило имущества на сумму 141 888 390,30 руб. (заключение договоров аренды на недвижимое имущество, земельные участки, рекламную конструкцию). Выбыло имущества на сумму 60 536 377,54 руб. (прекращение договоров аренды муниципального имущества (недвижимое имущество, движимое имущество (в связи со списанием), земельных участков, изменение кадастровой стоимости земельных участков). </w:t>
                  </w:r>
                </w:p>
                <w:p w:rsidR="009F54AC" w:rsidRDefault="0059407B">
                  <w:pPr>
                    <w:ind w:firstLine="700"/>
                    <w:jc w:val="both"/>
                  </w:pPr>
                  <w:r>
                    <w:rPr>
                      <w:color w:val="000000"/>
                      <w:sz w:val="28"/>
                      <w:szCs w:val="28"/>
                    </w:rPr>
                    <w:t xml:space="preserve">По забалансовому счету 26 «Имущество, переданное в безвозмездное пользование» за 2024 год поступило имущества на сумму 22 884 122,72 руб., из них по льготной аренде – 854 540,86 руб. (оборудование, инвентарь, материалы), по иным основаниям – 18 254 358,08 руб. (в том числе недвижимое имущество – 22 029 581,86 </w:t>
                  </w:r>
                  <w:r>
                    <w:rPr>
                      <w:color w:val="000000"/>
                      <w:sz w:val="28"/>
                      <w:szCs w:val="28"/>
                    </w:rPr>
                    <w:lastRenderedPageBreak/>
                    <w:t>руб. (гараж, земельные участки, переданные в КУ ХМАО-Югры «УКС ХМАО», МКУ «УКС г. Пыть-Яха). Выбыло имущества из безвозмездного пользования на сумму 7 080 795,68 руб., из них на льготных условиях: 669 483,50 руб., по иным основаниям – 6 411 312,18 руб. (недвижимое имущество на сумму 6 212 472,18 руб.).</w:t>
                  </w:r>
                </w:p>
                <w:p w:rsidR="009F54AC" w:rsidRDefault="0059407B">
                  <w:pPr>
                    <w:jc w:val="both"/>
                  </w:pPr>
                  <w:r>
                    <w:rPr>
                      <w:b/>
                      <w:bCs/>
                      <w:i/>
                      <w:iCs/>
                      <w:color w:val="000000"/>
                      <w:sz w:val="28"/>
                      <w:szCs w:val="28"/>
                    </w:rPr>
                    <w:t>Сведения по дебиторской и кредиторской задолженности форма 0503369.</w:t>
                  </w:r>
                </w:p>
                <w:p w:rsidR="009F54AC" w:rsidRDefault="0059407B">
                  <w:pPr>
                    <w:ind w:firstLine="700"/>
                    <w:jc w:val="both"/>
                  </w:pPr>
                  <w:r>
                    <w:rPr>
                      <w:b/>
                      <w:bCs/>
                      <w:i/>
                      <w:iCs/>
                      <w:color w:val="000000"/>
                      <w:sz w:val="28"/>
                      <w:szCs w:val="28"/>
                    </w:rPr>
                    <w:t>Дебиторская задолженность</w:t>
                  </w:r>
                  <w:r>
                    <w:rPr>
                      <w:color w:val="000000"/>
                      <w:sz w:val="28"/>
                      <w:szCs w:val="28"/>
                    </w:rPr>
                    <w:t> за отчетный период имеет следующие показатели:</w:t>
                  </w:r>
                </w:p>
                <w:p w:rsidR="009F54AC" w:rsidRDefault="0059407B">
                  <w:pPr>
                    <w:jc w:val="both"/>
                  </w:pPr>
                  <w:r>
                    <w:rPr>
                      <w:color w:val="000000"/>
                      <w:sz w:val="28"/>
                      <w:szCs w:val="28"/>
                    </w:rPr>
                    <w:t xml:space="preserve">- по состоянию на 01.01.2025 года в сумме 13 562 053 458,41 рублей, в том числе просроченная задолженность </w:t>
                  </w:r>
                  <w:r>
                    <w:rPr>
                      <w:b/>
                      <w:bCs/>
                      <w:color w:val="000000"/>
                      <w:sz w:val="28"/>
                      <w:szCs w:val="28"/>
                    </w:rPr>
                    <w:t>– 31 867 488,05</w:t>
                  </w:r>
                  <w:r>
                    <w:rPr>
                      <w:color w:val="000000"/>
                      <w:sz w:val="28"/>
                      <w:szCs w:val="28"/>
                    </w:rPr>
                    <w:t xml:space="preserve"> рублей, долгосрочная задолженность – 4 299 111 926,98 рублей. </w:t>
                  </w:r>
                </w:p>
                <w:p w:rsidR="009F54AC" w:rsidRDefault="0059407B">
                  <w:pPr>
                    <w:jc w:val="both"/>
                  </w:pPr>
                  <w:r>
                    <w:rPr>
                      <w:color w:val="000000"/>
                      <w:sz w:val="28"/>
                      <w:szCs w:val="28"/>
                    </w:rPr>
                    <w:t> Увеличение просроченной дебиторской задолженности:</w:t>
                  </w:r>
                </w:p>
                <w:p w:rsidR="009F54AC" w:rsidRDefault="0059407B">
                  <w:pPr>
                    <w:jc w:val="both"/>
                  </w:pPr>
                  <w:r>
                    <w:rPr>
                      <w:color w:val="000000"/>
                      <w:sz w:val="28"/>
                      <w:szCs w:val="28"/>
                    </w:rPr>
                    <w:t>-по счету 205.21 увеличение задолженности на 635,2 тыс.руб связано с нарушением сроков оплаты и неплатежеспособностью арендаторов. За отчетный период сформировано 186 пакета документов для подачи исковых заявлений о взыскании задолженности на сумму 5 021,2тыс. руб., из них взыскано/ поступило 2 642,1 тыс. руб. в том числе пени 110,3тыс. руб;</w:t>
                  </w:r>
                </w:p>
                <w:p w:rsidR="009F54AC" w:rsidRDefault="0059407B">
                  <w:pPr>
                    <w:jc w:val="both"/>
                  </w:pPr>
                  <w:r>
                    <w:rPr>
                      <w:color w:val="000000"/>
                      <w:sz w:val="28"/>
                      <w:szCs w:val="28"/>
                    </w:rPr>
                    <w:t>-по счету 205.29 увеличение задолженности на 106,1 тыс.руб. связано с нарушением сроков оплаты, ведется претензионная работа;</w:t>
                  </w:r>
                </w:p>
                <w:p w:rsidR="009F54AC" w:rsidRDefault="0059407B">
                  <w:pPr>
                    <w:jc w:val="both"/>
                  </w:pPr>
                  <w:r>
                    <w:rPr>
                      <w:color w:val="000000"/>
                      <w:sz w:val="28"/>
                      <w:szCs w:val="28"/>
                    </w:rPr>
                    <w:t>По счету 205.71 увеличение задолженности на 711,7 тыс.руб. связано с нарушение сроков оплаты и неплатежеспособностью физических лиц. В целях погашения просроченной задолженности за отчетный период сформировано 18 пакета документов для подачи исковых заявлений о взыскании задолженности на сумму 11 770,4 тыс. руб., из них поступило 4 972,0 тыс.руб., в том числе пени 59,7тыс. руб.</w:t>
                  </w:r>
                </w:p>
                <w:p w:rsidR="009F54AC" w:rsidRDefault="0059407B">
                  <w:pPr>
                    <w:ind w:firstLine="700"/>
                    <w:jc w:val="both"/>
                  </w:pPr>
                  <w:r>
                    <w:rPr>
                      <w:color w:val="000000"/>
                      <w:sz w:val="28"/>
                      <w:szCs w:val="28"/>
                    </w:rPr>
                    <w:t>Задолженность по состоянию на 01.01.2025 года по счетам 1.303.01.000, 1.303.05.000 в сведениях о дебиторской задолженности отсутствует. </w:t>
                  </w:r>
                </w:p>
                <w:p w:rsidR="009F54AC" w:rsidRDefault="0059407B">
                  <w:pPr>
                    <w:ind w:firstLine="700"/>
                    <w:jc w:val="both"/>
                  </w:pPr>
                  <w:r>
                    <w:rPr>
                      <w:b/>
                      <w:bCs/>
                      <w:i/>
                      <w:iCs/>
                      <w:color w:val="000000"/>
                      <w:sz w:val="28"/>
                      <w:szCs w:val="28"/>
                    </w:rPr>
                    <w:t>Кредиторская задолженность</w:t>
                  </w:r>
                  <w:r>
                    <w:rPr>
                      <w:color w:val="000000"/>
                      <w:sz w:val="28"/>
                      <w:szCs w:val="28"/>
                    </w:rPr>
                    <w:t> за отчетный период имеет следующие показатели:</w:t>
                  </w:r>
                </w:p>
                <w:p w:rsidR="009F54AC" w:rsidRDefault="0059407B">
                  <w:pPr>
                    <w:ind w:firstLine="700"/>
                    <w:jc w:val="both"/>
                  </w:pPr>
                  <w:r>
                    <w:rPr>
                      <w:color w:val="000000"/>
                      <w:sz w:val="28"/>
                      <w:szCs w:val="28"/>
                    </w:rPr>
                    <w:t>Кредиторская задолженность по состоянию на 01.01.2025 года составила 58 575 894,48 рублей, в том числе по доходам 4 727 289,21 рублей.</w:t>
                  </w:r>
                </w:p>
                <w:p w:rsidR="009F54AC" w:rsidRDefault="0059407B">
                  <w:pPr>
                    <w:ind w:firstLine="700"/>
                    <w:jc w:val="both"/>
                  </w:pPr>
                  <w:r>
                    <w:rPr>
                      <w:color w:val="000000"/>
                      <w:sz w:val="28"/>
                      <w:szCs w:val="28"/>
                    </w:rPr>
                    <w:t>Вся кредиторская задолженность по расходам текущая, принята в декабре 2024 года.</w:t>
                  </w:r>
                </w:p>
                <w:p w:rsidR="009F54AC" w:rsidRDefault="0059407B">
                  <w:pPr>
                    <w:ind w:firstLine="700"/>
                    <w:jc w:val="both"/>
                  </w:pPr>
                  <w:r>
                    <w:rPr>
                      <w:color w:val="000000"/>
                      <w:sz w:val="28"/>
                      <w:szCs w:val="28"/>
                    </w:rPr>
                    <w:t>Доходы будущих периодов составляет 13 641 686 575,16 руб.</w:t>
                  </w:r>
                </w:p>
                <w:p w:rsidR="009F54AC" w:rsidRDefault="0059407B">
                  <w:pPr>
                    <w:ind w:firstLine="700"/>
                    <w:jc w:val="both"/>
                  </w:pPr>
                  <w:r>
                    <w:rPr>
                      <w:color w:val="000000"/>
                      <w:sz w:val="28"/>
                      <w:szCs w:val="28"/>
                    </w:rPr>
                    <w:t>Резервы предстоящих расходов 46 411 271,70 руб.</w:t>
                  </w:r>
                </w:p>
                <w:p w:rsidR="009F54AC" w:rsidRDefault="0059407B">
                  <w:pPr>
                    <w:ind w:firstLine="700"/>
                    <w:jc w:val="both"/>
                  </w:pPr>
                  <w:r>
                    <w:rPr>
                      <w:color w:val="000000"/>
                      <w:sz w:val="28"/>
                      <w:szCs w:val="28"/>
                    </w:rPr>
                    <w:t>Задолженность по состоянию на 01.01.2025 года по счету 1.303.01. в сумме 98 522 руб. сложилась в результате перерасчета заработной платы за декабрь, задолженность оплачена в январе 2025 года, виновным лицом оплачена пеня.</w:t>
                  </w:r>
                </w:p>
                <w:p w:rsidR="009F54AC" w:rsidRDefault="0059407B">
                  <w:pPr>
                    <w:ind w:firstLine="700"/>
                    <w:jc w:val="both"/>
                  </w:pPr>
                  <w:r>
                    <w:rPr>
                      <w:b/>
                      <w:bCs/>
                      <w:color w:val="000000"/>
                      <w:sz w:val="28"/>
                      <w:szCs w:val="28"/>
                    </w:rPr>
                    <w:t>Показател</w:t>
                  </w:r>
                  <w:r>
                    <w:rPr>
                      <w:color w:val="000000"/>
                      <w:sz w:val="28"/>
                      <w:szCs w:val="28"/>
                    </w:rPr>
                    <w:t xml:space="preserve">и по счету </w:t>
                  </w:r>
                  <w:r>
                    <w:rPr>
                      <w:b/>
                      <w:bCs/>
                      <w:color w:val="000000"/>
                      <w:sz w:val="28"/>
                      <w:szCs w:val="28"/>
                    </w:rPr>
                    <w:t>1.302.75</w:t>
                  </w:r>
                  <w:r>
                    <w:rPr>
                      <w:color w:val="000000"/>
                      <w:sz w:val="28"/>
                      <w:szCs w:val="28"/>
                    </w:rPr>
                    <w:t xml:space="preserve"> «Расчеты по приобретению иных финансовых активов» - отсутствуют.</w:t>
                  </w:r>
                </w:p>
                <w:p w:rsidR="009F54AC" w:rsidRDefault="0059407B">
                  <w:pPr>
                    <w:jc w:val="center"/>
                  </w:pPr>
                  <w:r>
                    <w:rPr>
                      <w:b/>
                      <w:bCs/>
                      <w:i/>
                      <w:iCs/>
                      <w:color w:val="000000"/>
                      <w:sz w:val="28"/>
                      <w:szCs w:val="28"/>
                    </w:rPr>
                    <w:t>Сведения о финансовых вложениях получателя бюджетных средств, администратора источников финансирования дефицита бюджета (ф. 0503371)</w:t>
                  </w:r>
                </w:p>
                <w:p w:rsidR="009F54AC" w:rsidRDefault="0059407B">
                  <w:pPr>
                    <w:ind w:firstLine="700"/>
                    <w:jc w:val="both"/>
                  </w:pPr>
                  <w:r>
                    <w:rPr>
                      <w:color w:val="000000"/>
                      <w:sz w:val="28"/>
                      <w:szCs w:val="28"/>
                    </w:rPr>
                    <w:t>Сумма финансовых вложений муниципального образования городской округ город Пыть-Ях по состоянию на 01.01.2025 года составила 7 001 150 687,95 рублей, в том числе:</w:t>
                  </w:r>
                </w:p>
                <w:p w:rsidR="009F54AC" w:rsidRDefault="0059407B">
                  <w:pPr>
                    <w:ind w:firstLine="700"/>
                    <w:jc w:val="both"/>
                  </w:pPr>
                  <w:r>
                    <w:rPr>
                      <w:color w:val="000000"/>
                      <w:sz w:val="28"/>
                      <w:szCs w:val="28"/>
                    </w:rPr>
                    <w:lastRenderedPageBreak/>
                    <w:t> -по счету 1.204.32.000 в сумме 322 969 563,06 руб.-уставной фонд муниципальных унитарных предприятий;</w:t>
                  </w:r>
                </w:p>
                <w:p w:rsidR="009F54AC" w:rsidRDefault="0059407B">
                  <w:pPr>
                    <w:ind w:firstLine="700"/>
                    <w:jc w:val="both"/>
                  </w:pPr>
                  <w:r>
                    <w:rPr>
                      <w:color w:val="000000"/>
                      <w:sz w:val="28"/>
                      <w:szCs w:val="28"/>
                    </w:rPr>
                    <w:t> -по счету 1.204.33.000 в сумме 6 597 032 544,89 руб. - участие в капитале муниципальных бюджетных учреждений (балансовая стоимость недвижимого и особо ценного движимого имущества, закрепленного на праве оперативного управления) и идентичен показателю по счету 0.210.06.000 «Расчеты с учредителем» в балансе государственного (муниципального) учреждения (ф. 0503730) стр.480 графа 10;</w:t>
                  </w:r>
                </w:p>
                <w:p w:rsidR="009F54AC" w:rsidRDefault="0059407B">
                  <w:pPr>
                    <w:ind w:firstLine="700"/>
                    <w:jc w:val="both"/>
                  </w:pPr>
                  <w:r>
                    <w:rPr>
                      <w:color w:val="000000"/>
                      <w:sz w:val="28"/>
                      <w:szCs w:val="28"/>
                    </w:rPr>
                    <w:t>-по счету 1.204.34.000 в сумме 81 148 580,00 руб.-уставной фонд ООО «Пыть-Яхторгсервис».</w:t>
                  </w:r>
                </w:p>
                <w:p w:rsidR="009F54AC" w:rsidRDefault="0059407B">
                  <w:pPr>
                    <w:jc w:val="both"/>
                  </w:pPr>
                  <w:r>
                    <w:rPr>
                      <w:b/>
                      <w:bCs/>
                      <w:i/>
                      <w:iCs/>
                      <w:color w:val="000000"/>
                      <w:sz w:val="28"/>
                      <w:szCs w:val="28"/>
                    </w:rPr>
                    <w:t>Сведения о государственном (муниципальном) долге (ф. 0503372)</w:t>
                  </w:r>
                </w:p>
                <w:p w:rsidR="009F54AC" w:rsidRDefault="0059407B">
                  <w:pPr>
                    <w:ind w:firstLine="700"/>
                    <w:jc w:val="both"/>
                  </w:pPr>
                  <w:r>
                    <w:rPr>
                      <w:color w:val="000000"/>
                      <w:sz w:val="28"/>
                      <w:szCs w:val="28"/>
                    </w:rPr>
                    <w:t>В сведениях о государственном (муниципальном) долге отражена информация о привлеченном бюджетном кредите (счет 1.301.11.000), о кредите полученного от кредитной организации (счет 1.301.13.000). </w:t>
                  </w:r>
                </w:p>
                <w:p w:rsidR="009F54AC" w:rsidRDefault="0059407B">
                  <w:pPr>
                    <w:ind w:firstLine="540"/>
                    <w:jc w:val="both"/>
                  </w:pPr>
                  <w:r>
                    <w:rPr>
                      <w:b/>
                      <w:bCs/>
                      <w:color w:val="000000"/>
                      <w:sz w:val="28"/>
                      <w:szCs w:val="28"/>
                    </w:rPr>
                    <w:t>Раздел 1</w:t>
                  </w:r>
                  <w:r>
                    <w:rPr>
                      <w:color w:val="000000"/>
                      <w:sz w:val="28"/>
                      <w:szCs w:val="28"/>
                    </w:rPr>
                    <w:t> «Предоставленные бюджетные кредиты»: </w:t>
                  </w:r>
                </w:p>
                <w:p w:rsidR="009F54AC" w:rsidRDefault="0059407B">
                  <w:pPr>
                    <w:ind w:firstLine="540"/>
                    <w:jc w:val="both"/>
                  </w:pPr>
                  <w:r>
                    <w:rPr>
                      <w:color w:val="000000"/>
                      <w:sz w:val="28"/>
                      <w:szCs w:val="28"/>
                    </w:rPr>
                    <w:t>Бюджетные кредиты и займы из бюджета муниципального образования юридическим лицам в 2024 году не выдавались - показатели отсутствуют.</w:t>
                  </w:r>
                </w:p>
                <w:p w:rsidR="009F54AC" w:rsidRDefault="0059407B">
                  <w:pPr>
                    <w:jc w:val="both"/>
                  </w:pPr>
                  <w:r>
                    <w:rPr>
                      <w:b/>
                      <w:bCs/>
                      <w:color w:val="000000"/>
                      <w:sz w:val="28"/>
                      <w:szCs w:val="28"/>
                    </w:rPr>
                    <w:t>          Раздел 2</w:t>
                  </w:r>
                  <w:r>
                    <w:rPr>
                      <w:color w:val="000000"/>
                      <w:sz w:val="28"/>
                      <w:szCs w:val="28"/>
                    </w:rPr>
                    <w:t> «Сведения о суммах государственного (муниципального) долга»</w:t>
                  </w:r>
                </w:p>
                <w:p w:rsidR="009F54AC" w:rsidRDefault="0059407B">
                  <w:pPr>
                    <w:ind w:firstLine="700"/>
                    <w:jc w:val="both"/>
                  </w:pPr>
                  <w:r>
                    <w:rPr>
                      <w:color w:val="000000"/>
                      <w:sz w:val="28"/>
                      <w:szCs w:val="28"/>
                    </w:rPr>
                    <w:t>По муниципальному контракту № 0187300019422000148 от 17.10.2022 года с ПАО «Совкомбанк» остаток задолженности на 01.01.2024 года составлял 70 040 273,97 рублей, в том числе проценты 40 273,97 рублей. Задолженность погашена в январе 2024 года. На 01.01.2025 задолженность отсутствует.</w:t>
                  </w:r>
                </w:p>
                <w:p w:rsidR="009F54AC" w:rsidRDefault="0059407B">
                  <w:pPr>
                    <w:ind w:firstLine="700"/>
                    <w:jc w:val="both"/>
                  </w:pPr>
                  <w:r>
                    <w:rPr>
                      <w:color w:val="000000"/>
                      <w:sz w:val="28"/>
                      <w:szCs w:val="28"/>
                    </w:rPr>
                    <w:t>На 01.01.2024г по договору от 01.09.2023г. №6/02-23 заключенного с Департаментом финансов ХМАО-Югры остаток по бюджетному кредиту составил 88 888 880,00 рублей. На 01.01.2025 года задолженность составила 55 555 520,00 руб., задолженность по начисленным процентам отсутствует.</w:t>
                  </w:r>
                </w:p>
                <w:p w:rsidR="009F54AC" w:rsidRDefault="0059407B">
                  <w:pPr>
                    <w:ind w:firstLine="700"/>
                    <w:jc w:val="both"/>
                  </w:pPr>
                  <w:r>
                    <w:rPr>
                      <w:b/>
                      <w:bCs/>
                      <w:color w:val="000000"/>
                      <w:sz w:val="28"/>
                      <w:szCs w:val="28"/>
                    </w:rPr>
                    <w:t>Раздел 3</w:t>
                  </w:r>
                  <w:r>
                    <w:rPr>
                      <w:color w:val="000000"/>
                      <w:sz w:val="28"/>
                      <w:szCs w:val="28"/>
                    </w:rPr>
                    <w:t xml:space="preserve"> «Аналитическая информация о государственных (муниципальных) заимствованиях» - не указывается. </w:t>
                  </w:r>
                </w:p>
                <w:p w:rsidR="009F54AC" w:rsidRDefault="0059407B">
                  <w:pPr>
                    <w:ind w:firstLine="700"/>
                    <w:jc w:val="both"/>
                  </w:pPr>
                  <w:r>
                    <w:rPr>
                      <w:b/>
                      <w:bCs/>
                      <w:color w:val="000000"/>
                      <w:sz w:val="28"/>
                      <w:szCs w:val="28"/>
                    </w:rPr>
                    <w:t>Раздел 4</w:t>
                  </w:r>
                  <w:r>
                    <w:rPr>
                      <w:color w:val="000000"/>
                      <w:sz w:val="28"/>
                      <w:szCs w:val="28"/>
                    </w:rPr>
                    <w:t> «Государственные (муниципальные) гарантии»:     </w:t>
                  </w:r>
                </w:p>
                <w:p w:rsidR="009F54AC" w:rsidRDefault="0059407B">
                  <w:pPr>
                    <w:jc w:val="both"/>
                  </w:pPr>
                  <w:r>
                    <w:rPr>
                      <w:color w:val="000000"/>
                      <w:sz w:val="28"/>
                      <w:szCs w:val="28"/>
                    </w:rPr>
                    <w:t>- по состоянию на 01.01.2025года долговых обязательств в части выданных муниципальных гарантий нет.</w:t>
                  </w:r>
                </w:p>
                <w:p w:rsidR="009F54AC" w:rsidRDefault="0059407B">
                  <w:pPr>
                    <w:jc w:val="both"/>
                  </w:pPr>
                  <w:r>
                    <w:rPr>
                      <w:color w:val="000000"/>
                      <w:sz w:val="28"/>
                      <w:szCs w:val="28"/>
                    </w:rPr>
                    <w:t>            В течении 2024 года муниципальные гарантии не выдавались. </w:t>
                  </w:r>
                </w:p>
                <w:p w:rsidR="009F54AC" w:rsidRDefault="0059407B">
                  <w:pPr>
                    <w:jc w:val="both"/>
                  </w:pPr>
                  <w:r>
                    <w:rPr>
                      <w:color w:val="000000"/>
                      <w:sz w:val="28"/>
                      <w:szCs w:val="28"/>
                    </w:rPr>
                    <w:t>            Просроченные долговые обязательства по муниципальным заимствованиям отсутствуют.</w:t>
                  </w:r>
                </w:p>
                <w:p w:rsidR="009F54AC" w:rsidRDefault="0059407B">
                  <w:pPr>
                    <w:jc w:val="center"/>
                  </w:pPr>
                  <w:r>
                    <w:rPr>
                      <w:b/>
                      <w:bCs/>
                      <w:i/>
                      <w:iCs/>
                      <w:color w:val="000000"/>
                      <w:sz w:val="28"/>
                      <w:szCs w:val="28"/>
                    </w:rPr>
                    <w:t>Сведения о вложениях в объекты недвижимого имущества, объектах незавершенного строительства» (форма 0503190)</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1.</w:t>
                        </w:r>
                      </w:p>
                    </w:tc>
                    <w:tc>
                      <w:tcPr>
                        <w:tcW w:w="9834" w:type="dxa"/>
                        <w:tcMar>
                          <w:top w:w="0" w:type="dxa"/>
                          <w:left w:w="0" w:type="dxa"/>
                          <w:bottom w:w="0" w:type="dxa"/>
                          <w:right w:w="0" w:type="dxa"/>
                        </w:tcMar>
                      </w:tcPr>
                      <w:p w:rsidR="009F54AC" w:rsidRDefault="0059407B">
                        <w:pPr>
                          <w:jc w:val="both"/>
                        </w:pPr>
                        <w:r>
                          <w:rPr>
                            <w:color w:val="000000"/>
                            <w:sz w:val="28"/>
                            <w:szCs w:val="28"/>
                          </w:rPr>
                          <w:t>Приобретение в муниципальную собственность жилых помещений: поскольку муниципальное образование жилые помещения не строит, а приобретает, соответственно в графе 16 размер сметной стоимости строительства (реконструкции) на отчетную дату не отражен, в графах 18,19 и 21 отражены только обороты увеличения, уменьшения и кассовые расходы отчетного периода. </w:t>
                        </w:r>
                      </w:p>
                    </w:tc>
                  </w:tr>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lastRenderedPageBreak/>
                          <w:t>2.</w:t>
                        </w:r>
                      </w:p>
                    </w:tc>
                    <w:tc>
                      <w:tcPr>
                        <w:tcW w:w="9834" w:type="dxa"/>
                        <w:tcMar>
                          <w:top w:w="0" w:type="dxa"/>
                          <w:left w:w="0" w:type="dxa"/>
                          <w:bottom w:w="0" w:type="dxa"/>
                          <w:right w:w="0" w:type="dxa"/>
                        </w:tcMar>
                      </w:tcPr>
                      <w:p w:rsidR="009F54AC" w:rsidRDefault="0059407B">
                        <w:pPr>
                          <w:jc w:val="both"/>
                        </w:pPr>
                        <w:r>
                          <w:rPr>
                            <w:color w:val="000000"/>
                            <w:sz w:val="28"/>
                            <w:szCs w:val="28"/>
                          </w:rPr>
                          <w:t>На строительство объекта: "Физкультурно-спортивный комплекс" для единоборств по адресу: г. Пыть-Ях, 10 микрорайон "Мамонтово" в 2024 году получена проектно-сметная документация и оплачена на сумму 7 981,78 тыс. руб.</w:t>
                        </w:r>
                      </w:p>
                    </w:tc>
                  </w:tr>
                </w:tbl>
                <w:p w:rsidR="009F54AC" w:rsidRDefault="0059407B">
                  <w:pPr>
                    <w:ind w:firstLine="840"/>
                    <w:jc w:val="both"/>
                  </w:pPr>
                  <w:r>
                    <w:rPr>
                      <w:color w:val="000000"/>
                      <w:sz w:val="28"/>
                      <w:szCs w:val="28"/>
                    </w:rPr>
                    <w:t>Данный проект и разрешение на земельный участок под строительство спортивного комплекса переданы в пользование казённому учреждению ХМАО-Югры «Управлению капитального строительства» (распоряжения: № 2249-ра от 28.11.2024 г.), № 2218-ра от 25.11.2024 г.).</w:t>
                  </w:r>
                </w:p>
                <w:p w:rsidR="009F54AC" w:rsidRDefault="0059407B">
                  <w:pPr>
                    <w:ind w:firstLine="840"/>
                    <w:jc w:val="both"/>
                  </w:pPr>
                  <w:r>
                    <w:rPr>
                      <w:color w:val="000000"/>
                      <w:sz w:val="28"/>
                      <w:szCs w:val="28"/>
                    </w:rPr>
                    <w:t>3. Реконструкция ВОС-3 г.Пыть-Ях, 628380, ХМАО-Югра, г.Пыть-Ях, мкр.10 "Мамонтово» завершена в 2022 году, объект введен в эксплуатацию и передан в казну (распоряжение № 618-ра от 30.12.2022).</w:t>
                  </w:r>
                </w:p>
                <w:p w:rsidR="009F54AC" w:rsidRDefault="0059407B">
                  <w:pPr>
                    <w:spacing w:before="30"/>
                    <w:ind w:firstLine="840"/>
                    <w:jc w:val="both"/>
                  </w:pPr>
                  <w:r>
                    <w:rPr>
                      <w:color w:val="000000"/>
                      <w:sz w:val="28"/>
                      <w:szCs w:val="28"/>
                    </w:rPr>
                    <w:t>Кроме этого, в 2024 году в рамках определения суда от 18.12.24г. по делу № А75-8294/2023 и заключенного мирового соглашения №1 от 20.11.24г. между МКУ Администрацией города Пыть-Яха и ООО "Атомстройпрект» проведена оплата в размере 7 435, 93 тыс. руб., соответственно в графах 18,19 и 21 отражены только обороты увеличения, уменьшения и кассовые расходы отчетного периода.</w:t>
                  </w:r>
                </w:p>
                <w:p w:rsidR="009F54AC" w:rsidRDefault="009F54AC">
                  <w:pPr>
                    <w:rPr>
                      <w:vanish/>
                    </w:rPr>
                  </w:pPr>
                </w:p>
                <w:tbl>
                  <w:tblPr>
                    <w:tblOverlap w:val="never"/>
                    <w:tblW w:w="10314" w:type="dxa"/>
                    <w:tblLayout w:type="fixed"/>
                    <w:tblLook w:val="01E0" w:firstRow="1" w:lastRow="1" w:firstColumn="1" w:lastColumn="1" w:noHBand="0" w:noVBand="0"/>
                  </w:tblPr>
                  <w:tblGrid>
                    <w:gridCol w:w="480"/>
                    <w:gridCol w:w="9834"/>
                  </w:tblGrid>
                  <w:tr w:rsidR="009F54AC">
                    <w:tc>
                      <w:tcPr>
                        <w:tcW w:w="480" w:type="dxa"/>
                        <w:tcMar>
                          <w:top w:w="0" w:type="dxa"/>
                          <w:left w:w="0" w:type="dxa"/>
                          <w:bottom w:w="0" w:type="dxa"/>
                          <w:right w:w="0" w:type="dxa"/>
                        </w:tcMar>
                      </w:tcPr>
                      <w:p w:rsidR="009F54AC" w:rsidRDefault="0059407B">
                        <w:pPr>
                          <w:jc w:val="both"/>
                          <w:rPr>
                            <w:color w:val="000000"/>
                            <w:sz w:val="28"/>
                            <w:szCs w:val="28"/>
                          </w:rPr>
                        </w:pPr>
                        <w:r>
                          <w:rPr>
                            <w:color w:val="000000"/>
                            <w:sz w:val="28"/>
                            <w:szCs w:val="28"/>
                          </w:rPr>
                          <w:t>1.</w:t>
                        </w:r>
                      </w:p>
                    </w:tc>
                    <w:tc>
                      <w:tcPr>
                        <w:tcW w:w="9834" w:type="dxa"/>
                        <w:tcMar>
                          <w:top w:w="0" w:type="dxa"/>
                          <w:left w:w="0" w:type="dxa"/>
                          <w:bottom w:w="0" w:type="dxa"/>
                          <w:right w:w="0" w:type="dxa"/>
                        </w:tcMar>
                      </w:tcPr>
                      <w:p w:rsidR="009F54AC" w:rsidRDefault="0059407B">
                        <w:pPr>
                          <w:jc w:val="both"/>
                        </w:pPr>
                        <w:r>
                          <w:rPr>
                            <w:color w:val="000000"/>
                            <w:sz w:val="28"/>
                            <w:szCs w:val="28"/>
                          </w:rPr>
                          <w:t>Объект: Реконструкция ВОС-1 (2 очередь).</w:t>
                        </w:r>
                        <w:r>
                          <w:rPr>
                            <w:b/>
                            <w:bCs/>
                            <w:color w:val="000000"/>
                            <w:sz w:val="28"/>
                            <w:szCs w:val="28"/>
                          </w:rPr>
                          <w:t> </w:t>
                        </w:r>
                        <w:r>
                          <w:rPr>
                            <w:color w:val="000000"/>
                            <w:sz w:val="28"/>
                            <w:szCs w:val="28"/>
                          </w:rPr>
                          <w:t>Строительно-монтажные работы по реконструкции объекта «ВОС-1» завершены в октябре 2021 года и переданы в муниципальную казну в размере 190 210,22 тыс. руб. (распоряжение от 18.10.2021 № 2016-ра с внесением изменений). Данный объект введен в эксплуатацию (разрешение на ввод объекта в эксплуатацию от 08.10.2021г.   № 86-ru86308000-5-2021) и функционирует.</w:t>
                        </w:r>
                      </w:p>
                    </w:tc>
                  </w:tr>
                </w:tbl>
                <w:p w:rsidR="009F54AC" w:rsidRDefault="0059407B">
                  <w:pPr>
                    <w:spacing w:before="30" w:after="30"/>
                    <w:ind w:firstLine="840"/>
                    <w:jc w:val="both"/>
                  </w:pPr>
                  <w:r>
                    <w:rPr>
                      <w:color w:val="000000"/>
                      <w:sz w:val="28"/>
                      <w:szCs w:val="28"/>
                    </w:rPr>
                    <w:t>По состоянию на 01.01.2022 года остались непереданными затраты незавершённого строительства в размере 103 505,26 тыс. руб. (в том числе за счет средств окружного бюджета 93 913,66 тыс. руб.). Это затраты на работы и оборудование, которые не входили во 2 этап реализации проекта и были выполнены и приобретены до 2017 года (за период с 01.11.2021 года по 01.01.2023 года работы по данному объекту не осуществились). </w:t>
                  </w:r>
                </w:p>
                <w:p w:rsidR="009F54AC" w:rsidRDefault="0059407B">
                  <w:pPr>
                    <w:spacing w:before="30" w:after="30"/>
                    <w:ind w:firstLine="840"/>
                    <w:jc w:val="both"/>
                  </w:pPr>
                  <w:r>
                    <w:rPr>
                      <w:color w:val="000000"/>
                      <w:sz w:val="28"/>
                      <w:szCs w:val="28"/>
                    </w:rPr>
                    <w:t>В 2022 году на заседании комиссии при администрации города Пыть-Яха (протокол №2 от 25.11.2022), было принято решение о проведении обследования данного объекта на предмет дальнейшего использования имеющегося оборудования. Часть незавершенного строительства, оборудование на сумму 30 901,94 тыс. руб. было передано в казну (распоряжение № 750-ра от 18.04.2023).   </w:t>
                  </w:r>
                </w:p>
                <w:p w:rsidR="009F54AC" w:rsidRDefault="0059407B">
                  <w:pPr>
                    <w:spacing w:before="30" w:after="30"/>
                    <w:ind w:firstLine="840"/>
                    <w:jc w:val="both"/>
                  </w:pPr>
                  <w:r>
                    <w:rPr>
                      <w:color w:val="000000"/>
                      <w:sz w:val="28"/>
                      <w:szCs w:val="28"/>
                    </w:rPr>
                    <w:t>На оставшуюся часть незавершенного строительства было получено заключение от ООО «Проектный Комплекс «Интеграл» о том, что резервуары на данном объекте находятся в аварийном состоянии и подлежат сносу. Незавершенка в размере 72 603,3 тыс. рублей включена в реестр незавершенных объектов капитального строительства ХМАО-Югры для принятия управленческого решения (Постановление Правительства ХМАО - Югры     № 270-п от 16.06.2023).</w:t>
                  </w:r>
                </w:p>
                <w:p w:rsidR="009F54AC" w:rsidRDefault="0059407B">
                  <w:pPr>
                    <w:spacing w:before="30"/>
                    <w:ind w:firstLine="840"/>
                    <w:jc w:val="both"/>
                  </w:pPr>
                  <w:r>
                    <w:rPr>
                      <w:color w:val="000000"/>
                      <w:sz w:val="28"/>
                      <w:szCs w:val="28"/>
                    </w:rPr>
                    <w:t xml:space="preserve">В 2024 году на заседании координационного совета (Штаба) при Правительстве Ханты-Мансийского автономного округа – Югры (протокол от 02.02.2024 № 01-П-АИ-З) был рассмотрен вопрос о целесообразности реконструкции второй очереди ВОС-1 мощностью 3000 м3/сутки в г. Пыть-Яхе. В результате, главе города Пыть-Яха </w:t>
                  </w:r>
                  <w:r>
                    <w:rPr>
                      <w:color w:val="000000"/>
                      <w:sz w:val="28"/>
                      <w:szCs w:val="28"/>
                    </w:rPr>
                    <w:lastRenderedPageBreak/>
                    <w:t>рекомендовано обеспечить разработку проектно-сметной документации по завершению реконструкции данного объекта.</w:t>
                  </w:r>
                </w:p>
                <w:p w:rsidR="009F54AC" w:rsidRDefault="0059407B">
                  <w:pPr>
                    <w:spacing w:before="30"/>
                    <w:ind w:firstLine="840"/>
                    <w:jc w:val="both"/>
                  </w:pPr>
                  <w:r>
                    <w:rPr>
                      <w:color w:val="000000"/>
                      <w:sz w:val="28"/>
                      <w:szCs w:val="28"/>
                    </w:rPr>
                    <w:t xml:space="preserve">Учреждением МКУ «УКС» была проведена конкурентная закупка, заключен контракт 27.05.2024 года на сумму 14 580,0 тыс.руб. с ООО «Атомстройпроект» на выполнение работ по корректировке I и III этапов проектно-сметной документации с совмещением в III этап по объекту: «Реконструкция ВОС-1 (2 очередь) г.Пыть-Ях </w:t>
                  </w:r>
                  <w:r>
                    <w:rPr>
                      <w:i/>
                      <w:iCs/>
                      <w:color w:val="000000"/>
                      <w:sz w:val="28"/>
                      <w:szCs w:val="28"/>
                    </w:rPr>
                    <w:t>(в целях увеличения мощности до 4000 м3/сутки)</w:t>
                  </w:r>
                  <w:r>
                    <w:rPr>
                      <w:color w:val="000000"/>
                      <w:sz w:val="28"/>
                      <w:szCs w:val="28"/>
                    </w:rPr>
                    <w:t>, срок выполнения работ до 01.03.2025 года. </w:t>
                  </w:r>
                </w:p>
                <w:p w:rsidR="009F54AC" w:rsidRDefault="0059407B">
                  <w:pPr>
                    <w:spacing w:before="30"/>
                    <w:ind w:firstLine="840"/>
                    <w:jc w:val="both"/>
                  </w:pPr>
                  <w:r>
                    <w:rPr>
                      <w:color w:val="000000"/>
                      <w:sz w:val="28"/>
                      <w:szCs w:val="28"/>
                    </w:rPr>
                    <w:t>После определения сметной стоимости объекта будет направлено предложение в Департамент строительства и жилищно-коммунального комплекса ХМАО – Югры для включения объекта в государственную программу «Строительство» и определен предполагаемый срок завершения реконструкции данного объекта. Предполагаемый срок завершения реконструкции объекта до 2030 года.</w:t>
                  </w:r>
                </w:p>
                <w:p w:rsidR="009F54AC" w:rsidRDefault="0059407B">
                  <w:pPr>
                    <w:ind w:firstLine="840"/>
                    <w:jc w:val="both"/>
                  </w:pPr>
                  <w:r>
                    <w:rPr>
                      <w:b/>
                      <w:bCs/>
                      <w:color w:val="000000"/>
                      <w:sz w:val="28"/>
                      <w:szCs w:val="28"/>
                    </w:rPr>
                    <w:t>5-6. Реконструкция инженерно-технических средств охраны объекта: Котельная «Таёжная» и «Мамонтовская»</w:t>
                  </w:r>
                </w:p>
                <w:p w:rsidR="009F54AC" w:rsidRDefault="0059407B">
                  <w:pPr>
                    <w:ind w:firstLine="840"/>
                    <w:jc w:val="both"/>
                  </w:pPr>
                  <w:r>
                    <w:rPr>
                      <w:color w:val="000000"/>
                      <w:sz w:val="28"/>
                      <w:szCs w:val="28"/>
                    </w:rPr>
                    <w:t>В 2022 году работы по проектно-сметной документации выполнены и оплачены в полном объеме по «Таёжная»</w:t>
                  </w:r>
                  <w:r>
                    <w:rPr>
                      <w:b/>
                      <w:bCs/>
                      <w:color w:val="000000"/>
                      <w:sz w:val="28"/>
                      <w:szCs w:val="28"/>
                    </w:rPr>
                    <w:t> </w:t>
                  </w:r>
                  <w:r>
                    <w:rPr>
                      <w:color w:val="000000"/>
                      <w:sz w:val="28"/>
                      <w:szCs w:val="28"/>
                    </w:rPr>
                    <w:t>на сумму 1 730,4 тыс.руб. по «Мамонтовская» на сумму 1 710,4 тыс.руб. </w:t>
                  </w:r>
                </w:p>
                <w:p w:rsidR="009F54AC" w:rsidRDefault="0059407B">
                  <w:pPr>
                    <w:ind w:firstLine="840"/>
                    <w:jc w:val="both"/>
                  </w:pPr>
                  <w:r>
                    <w:rPr>
                      <w:color w:val="000000"/>
                      <w:sz w:val="28"/>
                      <w:szCs w:val="28"/>
                    </w:rPr>
                    <w:t>В 2024 году МКУ «УКС» была проведена конкурентная закупка, заключен контракт 08.07.2024 года в размере 27 548,2 тыс. руб., на выполнение работ по реконструкции инженерно-технических средств охраны объекта: Котельная «Таёжная», МУП «Управление городского хозяйства» м.о. г. Пыть-Ях (1 этап). В декабре 2024 года работы по реконструкции 1 этапа были завершены, приняты и оплачены. Реконструкция следующих этапов работ будет продолжена после определения источника финансирования.</w:t>
                  </w:r>
                </w:p>
                <w:p w:rsidR="009F54AC" w:rsidRDefault="0059407B">
                  <w:pPr>
                    <w:ind w:firstLine="840"/>
                    <w:jc w:val="both"/>
                  </w:pPr>
                  <w:r>
                    <w:rPr>
                      <w:b/>
                      <w:bCs/>
                      <w:color w:val="000000"/>
                      <w:sz w:val="28"/>
                      <w:szCs w:val="28"/>
                    </w:rPr>
                    <w:t>7.</w:t>
                  </w:r>
                  <w:r>
                    <w:rPr>
                      <w:color w:val="000000"/>
                      <w:sz w:val="28"/>
                      <w:szCs w:val="28"/>
                    </w:rPr>
                    <w:t> </w:t>
                  </w:r>
                  <w:r>
                    <w:rPr>
                      <w:b/>
                      <w:bCs/>
                      <w:color w:val="000000"/>
                      <w:sz w:val="28"/>
                      <w:szCs w:val="28"/>
                    </w:rPr>
                    <w:t>Централизованное газоснабжение индивидуальной жилой застройки, расположенной по адресу: город Пыть-Ях, микрорайон 8 Горка</w:t>
                  </w:r>
                </w:p>
                <w:p w:rsidR="009F54AC" w:rsidRDefault="0059407B">
                  <w:pPr>
                    <w:ind w:firstLine="840"/>
                    <w:jc w:val="both"/>
                  </w:pPr>
                  <w:r>
                    <w:rPr>
                      <w:color w:val="000000"/>
                      <w:sz w:val="28"/>
                      <w:szCs w:val="28"/>
                    </w:rPr>
                    <w:t> С целью транспортировки природного газа для обеспечения коммунально-бытовых нужд населения, с использованием на цели отопления, горячего водоснабжения и т.д. индивидуальной жилой застройки, был заключен муниципальный контракт на выполнение работ по разработке проектной, рабочей и сметной документации на сумму 6 600,0 тыс. руб. В 2024 году работы выполнены и оплачены в полном, проект получен, сметная стоимость определена. Поскольку источник финансирования данного объекта не определен в графе 8 отражен статус 04 – «строительство объекта не начиналось при наличии проектно-сметной документации», в графе 9 отражена целевая функция объекта 11 – «целевая функция не определена». </w:t>
                  </w:r>
                </w:p>
                <w:p w:rsidR="009F54AC" w:rsidRDefault="0059407B">
                  <w:pPr>
                    <w:ind w:firstLine="700"/>
                    <w:jc w:val="both"/>
                  </w:pPr>
                  <w:r>
                    <w:rPr>
                      <w:b/>
                      <w:bCs/>
                      <w:color w:val="000000"/>
                      <w:sz w:val="28"/>
                      <w:szCs w:val="28"/>
                    </w:rPr>
                    <w:t>ПРОТОКОЛ ПРОВЕРКИ ОТЧЕТА (файл приложен во вложении к разделу 4 ф.0503360)</w:t>
                  </w:r>
                </w:p>
                <w:p w:rsidR="009F54AC" w:rsidRDefault="0059407B">
                  <w:pPr>
                    <w:ind w:firstLine="700"/>
                    <w:jc w:val="both"/>
                  </w:pPr>
                  <w:r>
                    <w:rPr>
                      <w:color w:val="000000"/>
                      <w:sz w:val="28"/>
                      <w:szCs w:val="28"/>
                    </w:rPr>
                    <w:t xml:space="preserve">В графе 5.2 формы отображен номер реестровой записи участника бюджетного процесса </w:t>
                  </w:r>
                  <w:r>
                    <w:rPr>
                      <w:b/>
                      <w:bCs/>
                      <w:color w:val="000000"/>
                      <w:sz w:val="28"/>
                      <w:szCs w:val="28"/>
                    </w:rPr>
                    <w:t>748850000</w:t>
                  </w:r>
                  <w:r>
                    <w:rPr>
                      <w:color w:val="000000"/>
                      <w:sz w:val="28"/>
                      <w:szCs w:val="28"/>
                    </w:rPr>
                    <w:t xml:space="preserve">33100051081, который соответствует номеру, отраженному в «Реестре участников бюджетного процесса, а также юридических лиц, не являющихся </w:t>
                  </w:r>
                  <w:r>
                    <w:rPr>
                      <w:color w:val="000000"/>
                      <w:sz w:val="28"/>
                      <w:szCs w:val="28"/>
                    </w:rPr>
                    <w:lastRenderedPageBreak/>
                    <w:t xml:space="preserve">участниками бюджетного процесса». Тогда как, ОКТМО города Пыть-Ях </w:t>
                  </w:r>
                  <w:r>
                    <w:rPr>
                      <w:b/>
                      <w:bCs/>
                      <w:color w:val="000000"/>
                      <w:sz w:val="28"/>
                      <w:szCs w:val="28"/>
                    </w:rPr>
                    <w:t>718850000</w:t>
                  </w:r>
                  <w:r>
                    <w:rPr>
                      <w:color w:val="000000"/>
                      <w:sz w:val="28"/>
                      <w:szCs w:val="28"/>
                    </w:rPr>
                    <w:t>00, то есть первые восемь символов в графе 5.2 не соответствует ОКТМО. </w:t>
                  </w:r>
                </w:p>
                <w:p w:rsidR="009F54AC" w:rsidRDefault="0059407B">
                  <w:pPr>
                    <w:ind w:firstLine="700"/>
                    <w:jc w:val="both"/>
                  </w:pPr>
                  <w:r>
                    <w:rPr>
                      <w:color w:val="000000"/>
                      <w:sz w:val="28"/>
                      <w:szCs w:val="28"/>
                    </w:rPr>
                    <w:t>Федеральное казначейство формирует реестровую запись, которой присваивается уникальный номер, где 1, 2, 3, 4, 5, 6, 7, 8 разряды - код территории публично-правового образования (пункты 18 и 22 Приказа Минфина России от 23.12.2014 N 163н). Скриншоты реестров УБП прилагаю.</w:t>
                  </w:r>
                </w:p>
                <w:p w:rsidR="009F54AC" w:rsidRDefault="0059407B">
                  <w:pPr>
                    <w:ind w:firstLine="700"/>
                    <w:jc w:val="both"/>
                  </w:pPr>
                  <w:r>
                    <w:rPr>
                      <w:color w:val="000000"/>
                      <w:sz w:val="28"/>
                      <w:szCs w:val="28"/>
                    </w:rPr>
                    <w:t>Программный продукт ПК «Web-Консолидация» контролирует номер реестровой записи участника бюджетного процесса в графе 5.2 отчета с уникальным номером, присвоенным УФК в реестре участников бюджетного процесса.</w:t>
                  </w:r>
                </w:p>
                <w:p w:rsidR="009F54AC" w:rsidRDefault="0059407B">
                  <w:pPr>
                    <w:jc w:val="center"/>
                  </w:pPr>
                  <w:r>
                    <w:rPr>
                      <w:b/>
                      <w:bCs/>
                      <w:color w:val="000000"/>
                      <w:sz w:val="28"/>
                      <w:szCs w:val="28"/>
                    </w:rPr>
                    <w:t>Форма 296 сведения об исполнении судебных решений по денежным обязательствам учреждения</w:t>
                  </w:r>
                  <w:r>
                    <w:rPr>
                      <w:color w:val="000000"/>
                      <w:sz w:val="28"/>
                      <w:szCs w:val="28"/>
                    </w:rPr>
                    <w:t>.</w:t>
                  </w:r>
                </w:p>
                <w:p w:rsidR="009F54AC" w:rsidRDefault="0059407B">
                  <w:pPr>
                    <w:ind w:firstLine="700"/>
                    <w:jc w:val="both"/>
                  </w:pPr>
                  <w:r>
                    <w:rPr>
                      <w:color w:val="000000"/>
                      <w:sz w:val="28"/>
                      <w:szCs w:val="28"/>
                    </w:rPr>
                    <w:t>В течении 2024 года к муниципальным казенным учреждениям предъявлено 15 исполнительных документов. В 2024 году исполнено 16 исполнительных листов из них 1 исполнительный лист в сумме 150 000 руб. неоплаченный в 2023 году, 15 исполнительных листов исполнены в полном объеме, 1 исполнительный исполнен частично. Задолженность на 01.01.2025 года по исполнительным документам составляет 4 133,91 руб. (законная неустойка по муниципальному контракту).</w:t>
                  </w:r>
                </w:p>
                <w:p w:rsidR="009F54AC" w:rsidRDefault="0059407B">
                  <w:pPr>
                    <w:jc w:val="center"/>
                  </w:pPr>
                  <w:r>
                    <w:rPr>
                      <w:b/>
                      <w:bCs/>
                      <w:color w:val="000000"/>
                      <w:sz w:val="28"/>
                      <w:szCs w:val="28"/>
                    </w:rPr>
                    <w:t>Дополнительные пояснения по письму Депфина «Об особенностях составления и предоставления годовой отчетности» от 24.01.2025 г.</w:t>
                  </w:r>
                </w:p>
                <w:p w:rsidR="009F54AC" w:rsidRDefault="0059407B">
                  <w:pPr>
                    <w:jc w:val="both"/>
                  </w:pPr>
                  <w:r>
                    <w:rPr>
                      <w:color w:val="000000"/>
                      <w:sz w:val="28"/>
                      <w:szCs w:val="28"/>
                    </w:rPr>
                    <w:t>1.3.1. По счетам 1.201.20.000 «Денежные средства учреждения в кредитной организации»,  1.201.27.000 «Денежные средства учреждения в иностранной валюте на счетах в кредитной организации»  - показатели отсутствуют;</w:t>
                  </w:r>
                </w:p>
                <w:p w:rsidR="009F54AC" w:rsidRDefault="0059407B">
                  <w:pPr>
                    <w:jc w:val="both"/>
                  </w:pPr>
                  <w:r>
                    <w:rPr>
                      <w:color w:val="000000"/>
                      <w:sz w:val="28"/>
                      <w:szCs w:val="28"/>
                    </w:rPr>
                    <w:t>1.3.2. По счету 1.201.34.000 «Касса» -  показатели отсутствуют;</w:t>
                  </w:r>
                </w:p>
                <w:p w:rsidR="009F54AC" w:rsidRDefault="0059407B">
                  <w:pPr>
                    <w:jc w:val="both"/>
                  </w:pPr>
                  <w:r>
                    <w:rPr>
                      <w:color w:val="000000"/>
                      <w:sz w:val="28"/>
                      <w:szCs w:val="28"/>
                    </w:rPr>
                    <w:t xml:space="preserve">1.3.3 </w:t>
                  </w:r>
                  <w:r>
                    <w:rPr>
                      <w:color w:val="000000"/>
                      <w:sz w:val="28"/>
                      <w:szCs w:val="28"/>
                      <w:shd w:val="clear" w:color="auto" w:fill="FFFFFF"/>
                    </w:rPr>
                    <w:t>Показатели бюджетной отчетности соответствуют данным государственных реестров.</w:t>
                  </w:r>
                </w:p>
                <w:p w:rsidR="009F54AC" w:rsidRDefault="0059407B">
                  <w:pPr>
                    <w:jc w:val="both"/>
                  </w:pPr>
                  <w:r>
                    <w:rPr>
                      <w:color w:val="000000"/>
                      <w:sz w:val="28"/>
                      <w:szCs w:val="28"/>
                      <w:u w:val="single"/>
                    </w:rPr>
                    <w:t>1.3.4.По счету 106.10 «Вложения в недвижимое имущество»</w:t>
                  </w:r>
                  <w:r>
                    <w:rPr>
                      <w:color w:val="000000"/>
                      <w:sz w:val="28"/>
                      <w:szCs w:val="28"/>
                    </w:rPr>
                    <w:t> на 01.01.2025г. числится сумма – 140044367,96 руб. в том числе по объектам незавершенного строительства 111 142 748,41 руб., иное движимое имущество 28 901 619,55 руб. (вложения в проектно-сметную документацию 2 842 070,99 руб., спортивные площадки, объекты благоустройства оплаченные, не смонтированные и не переданные в муниципальную казну 26 059 548,56 руб. (передача в казну в 2025 году).</w:t>
                  </w:r>
                </w:p>
                <w:p w:rsidR="009F54AC" w:rsidRDefault="0059407B">
                  <w:pPr>
                    <w:jc w:val="both"/>
                  </w:pPr>
                  <w:r>
                    <w:rPr>
                      <w:color w:val="000000"/>
                      <w:sz w:val="28"/>
                      <w:szCs w:val="28"/>
                    </w:rPr>
                    <w:t>1.3.5. По счетам 1.206.00.000 «Расчеты по выданным авансам» в части расчетов по договорам (контрактам) отражены суммы предоплаты, расчеты по которым, предусматриваются в 2025 финансовом году. </w:t>
                  </w:r>
                </w:p>
                <w:p w:rsidR="009F54AC" w:rsidRDefault="0059407B">
                  <w:pPr>
                    <w:jc w:val="both"/>
                  </w:pPr>
                  <w:r>
                    <w:rPr>
                      <w:color w:val="000000"/>
                      <w:sz w:val="28"/>
                      <w:szCs w:val="28"/>
                    </w:rPr>
                    <w:t>            </w:t>
                  </w:r>
                </w:p>
                <w:p w:rsidR="009F54AC" w:rsidRDefault="0059407B">
                  <w:pPr>
                    <w:jc w:val="both"/>
                  </w:pPr>
                  <w:r>
                    <w:rPr>
                      <w:color w:val="000000"/>
                      <w:sz w:val="28"/>
                      <w:szCs w:val="28"/>
                    </w:rPr>
                    <w:t>1.4. По форме 0503110Р «Расшифровка показателей, отраженных в справке по заключению счетов бюджетного учета отчетного финансового года (ф.0503110) отдельные показатели справки, отраженные по строкам «Иное»:</w:t>
                  </w:r>
                </w:p>
                <w:p w:rsidR="009F54AC" w:rsidRDefault="0059407B">
                  <w:pPr>
                    <w:ind w:firstLine="700"/>
                    <w:jc w:val="both"/>
                  </w:pPr>
                  <w:r>
                    <w:rPr>
                      <w:color w:val="000000"/>
                      <w:sz w:val="28"/>
                      <w:szCs w:val="28"/>
                    </w:rPr>
                    <w:t>Подробное пояснение показателей отражены в графе 5 формы (0503110р) и Приложении № 1 к письму Депфина.</w:t>
                  </w:r>
                </w:p>
                <w:p w:rsidR="009F54AC" w:rsidRDefault="0059407B">
                  <w:pPr>
                    <w:jc w:val="both"/>
                  </w:pPr>
                  <w:r>
                    <w:rPr>
                      <w:color w:val="000000"/>
                      <w:sz w:val="28"/>
                      <w:szCs w:val="28"/>
                    </w:rPr>
                    <w:t>1.8.1 . Показатели по счетам 1.302.75 «Расчеты по приобретению иных финансовых активов» - показатели отсутствуют.</w:t>
                  </w:r>
                </w:p>
                <w:p w:rsidR="009F54AC" w:rsidRDefault="0059407B">
                  <w:pPr>
                    <w:jc w:val="both"/>
                  </w:pPr>
                  <w:r>
                    <w:rPr>
                      <w:color w:val="000000"/>
                      <w:sz w:val="28"/>
                      <w:szCs w:val="28"/>
                    </w:rPr>
                    <w:lastRenderedPageBreak/>
                    <w:t>п. 1.8.7.</w:t>
                  </w:r>
                  <w:r>
                    <w:rPr>
                      <w:b/>
                      <w:bCs/>
                      <w:color w:val="000000"/>
                      <w:sz w:val="28"/>
                      <w:szCs w:val="28"/>
                    </w:rPr>
                    <w:t> </w:t>
                  </w:r>
                  <w:r>
                    <w:rPr>
                      <w:color w:val="000000"/>
                      <w:sz w:val="28"/>
                      <w:szCs w:val="28"/>
                    </w:rPr>
                    <w:t>Инвентаризация основных средств, материальных запасов и расчетов, в целях составления годовой отчетности за 2024 год, проведена по состоянию на 1 октября 2024 года и на 01 января 2025 года на основании Решений о проведении инвентаризации.</w:t>
                  </w:r>
                </w:p>
                <w:p w:rsidR="009F54AC" w:rsidRDefault="0059407B">
                  <w:pPr>
                    <w:ind w:firstLine="540"/>
                    <w:jc w:val="center"/>
                  </w:pPr>
                  <w:r>
                    <w:rPr>
                      <w:b/>
                      <w:bCs/>
                      <w:color w:val="000000"/>
                      <w:sz w:val="28"/>
                      <w:szCs w:val="28"/>
                    </w:rPr>
                    <w:t>Информация по применению ФСБУ ГФ «Сведения о показателях бухгалтерской (финансовой) отчетности по сегментам»</w:t>
                  </w:r>
                </w:p>
                <w:p w:rsidR="009F54AC" w:rsidRDefault="0059407B">
                  <w:pPr>
                    <w:ind w:firstLine="700"/>
                    <w:jc w:val="both"/>
                  </w:pPr>
                  <w:r>
                    <w:rPr>
                      <w:color w:val="000000"/>
                      <w:sz w:val="28"/>
                      <w:szCs w:val="28"/>
                    </w:rPr>
                    <w:t xml:space="preserve">По состоянию на 1 января 2025 года у учреждения числится </w:t>
                  </w:r>
                  <w:r>
                    <w:rPr>
                      <w:b/>
                      <w:bCs/>
                      <w:color w:val="000000"/>
                      <w:sz w:val="28"/>
                      <w:szCs w:val="28"/>
                    </w:rPr>
                    <w:t>дебиторская </w:t>
                  </w:r>
                  <w:r>
                    <w:rPr>
                      <w:color w:val="000000"/>
                      <w:sz w:val="28"/>
                      <w:szCs w:val="28"/>
                    </w:rPr>
                    <w:t>задолженность всего в размере 13 562 053 458,41 руб.,</w:t>
                  </w:r>
                </w:p>
                <w:p w:rsidR="009F54AC" w:rsidRDefault="0059407B">
                  <w:pPr>
                    <w:ind w:firstLine="700"/>
                    <w:jc w:val="both"/>
                  </w:pPr>
                  <w:r>
                    <w:rPr>
                      <w:color w:val="000000"/>
                      <w:sz w:val="28"/>
                      <w:szCs w:val="28"/>
                    </w:rPr>
                    <w:t>в том числе по сегментам:</w:t>
                  </w:r>
                </w:p>
                <w:p w:rsidR="009F54AC" w:rsidRDefault="0059407B">
                  <w:pPr>
                    <w:ind w:firstLine="700"/>
                    <w:jc w:val="both"/>
                  </w:pPr>
                  <w:r>
                    <w:rPr>
                      <w:color w:val="000000"/>
                      <w:sz w:val="28"/>
                      <w:szCs w:val="28"/>
                    </w:rPr>
                    <w:t>- бюджетные единицы – 8 878 948 900,00 руб.</w:t>
                  </w:r>
                </w:p>
                <w:p w:rsidR="009F54AC" w:rsidRDefault="0059407B">
                  <w:pPr>
                    <w:ind w:firstLine="700"/>
                    <w:jc w:val="both"/>
                  </w:pPr>
                  <w:r>
                    <w:rPr>
                      <w:color w:val="000000"/>
                      <w:sz w:val="28"/>
                      <w:szCs w:val="28"/>
                    </w:rPr>
                    <w:t>- бюджетные и автономные учреждения -  0 руб.</w:t>
                  </w:r>
                </w:p>
                <w:p w:rsidR="009F54AC" w:rsidRDefault="0059407B">
                  <w:pPr>
                    <w:ind w:firstLine="700"/>
                    <w:jc w:val="both"/>
                  </w:pPr>
                  <w:r>
                    <w:rPr>
                      <w:color w:val="000000"/>
                      <w:sz w:val="28"/>
                      <w:szCs w:val="28"/>
                    </w:rPr>
                    <w:t>- внебюджетные государственные единицы – 7 158 554,32 руб.</w:t>
                  </w:r>
                </w:p>
                <w:p w:rsidR="009F54AC" w:rsidRDefault="0059407B">
                  <w:pPr>
                    <w:ind w:firstLine="700"/>
                    <w:jc w:val="both"/>
                  </w:pPr>
                  <w:r>
                    <w:rPr>
                      <w:color w:val="000000"/>
                      <w:sz w:val="28"/>
                      <w:szCs w:val="28"/>
                    </w:rPr>
                    <w:t>Остальная дебиторская задолженность не относится к сегментам, установленным в пунктах 7–10 СГС «Сведения о показателях отчетности по сегментам». </w:t>
                  </w:r>
                </w:p>
                <w:p w:rsidR="009F54AC" w:rsidRDefault="0059407B">
                  <w:pPr>
                    <w:ind w:firstLine="700"/>
                    <w:jc w:val="both"/>
                  </w:pPr>
                  <w:r>
                    <w:rPr>
                      <w:color w:val="000000"/>
                      <w:sz w:val="28"/>
                      <w:szCs w:val="28"/>
                    </w:rPr>
                    <w:t>Просроченная дебиторская задолженность по состоянию на 01.01.2025 года составляет 31 867 488,05 рублей, из них просроченная дебиторская внебюджетных государственных единиц – 103,04 руб.</w:t>
                  </w:r>
                </w:p>
                <w:p w:rsidR="009F54AC" w:rsidRDefault="0059407B">
                  <w:pPr>
                    <w:ind w:firstLine="700"/>
                    <w:jc w:val="both"/>
                  </w:pPr>
                  <w:r>
                    <w:rPr>
                      <w:color w:val="000000"/>
                      <w:sz w:val="28"/>
                      <w:szCs w:val="28"/>
                    </w:rPr>
                    <w:t> По состоянию на 01.01.2025 по счету 209.36 в сумме 9 007,01 руб. отражена задолженность: ОСФР по ХМАО - возмещение затрат по детям-   инвалидам (дополнительные дни к отпуску) – 8 525,08руб., задолженность со счета 206.23. (авансовые платежи по коммунальным услугам) – 481,93 рублей (в связи с окончанием действия договора).</w:t>
                  </w:r>
                </w:p>
                <w:p w:rsidR="009F54AC" w:rsidRDefault="0059407B">
                  <w:pPr>
                    <w:ind w:firstLine="700"/>
                    <w:jc w:val="both"/>
                  </w:pPr>
                  <w:r>
                    <w:rPr>
                      <w:color w:val="000000"/>
                      <w:sz w:val="28"/>
                      <w:szCs w:val="28"/>
                    </w:rPr>
                    <w:t>Долгосрочная задолженность составляет 4 299 111 926,98 рублей и не относится к сегментам, из них долгосрочная задолженность внебюджетных государственных единиц – 5 642 560,11 руб.</w:t>
                  </w:r>
                </w:p>
                <w:p w:rsidR="009F54AC" w:rsidRDefault="0059407B">
                  <w:pPr>
                    <w:spacing w:after="130"/>
                    <w:ind w:firstLine="700"/>
                    <w:jc w:val="both"/>
                  </w:pPr>
                  <w:r>
                    <w:rPr>
                      <w:color w:val="000000"/>
                      <w:sz w:val="56"/>
                      <w:szCs w:val="56"/>
                    </w:rPr>
                    <w:t>Причины возникновения просроченной дебиторской задолженности, а также меры, принимаемые по сокращению просроченной задолженности раскрыты в форме R86 0503169.</w:t>
                  </w:r>
                </w:p>
                <w:p w:rsidR="009F54AC" w:rsidRDefault="0059407B">
                  <w:pPr>
                    <w:ind w:firstLine="700"/>
                    <w:jc w:val="both"/>
                  </w:pPr>
                  <w:r>
                    <w:rPr>
                      <w:color w:val="000000"/>
                      <w:sz w:val="28"/>
                      <w:szCs w:val="28"/>
                    </w:rPr>
                    <w:t xml:space="preserve">По состоянию на 1 января 2025 года числится текущая </w:t>
                  </w:r>
                  <w:r>
                    <w:rPr>
                      <w:b/>
                      <w:bCs/>
                      <w:color w:val="000000"/>
                      <w:sz w:val="28"/>
                      <w:szCs w:val="28"/>
                    </w:rPr>
                    <w:t>кредиторская задолженность</w:t>
                  </w:r>
                  <w:r>
                    <w:rPr>
                      <w:color w:val="000000"/>
                      <w:sz w:val="28"/>
                      <w:szCs w:val="28"/>
                    </w:rPr>
                    <w:t xml:space="preserve"> в размере 58 575 894,48 руб.,</w:t>
                  </w:r>
                </w:p>
                <w:p w:rsidR="009F54AC" w:rsidRDefault="0059407B">
                  <w:pPr>
                    <w:ind w:firstLine="700"/>
                    <w:jc w:val="both"/>
                  </w:pPr>
                  <w:r>
                    <w:rPr>
                      <w:color w:val="000000"/>
                      <w:sz w:val="28"/>
                      <w:szCs w:val="28"/>
                    </w:rPr>
                    <w:t>в том числе по сегментам:</w:t>
                  </w:r>
                </w:p>
                <w:p w:rsidR="009F54AC" w:rsidRDefault="0059407B">
                  <w:pPr>
                    <w:ind w:firstLine="700"/>
                    <w:jc w:val="both"/>
                  </w:pPr>
                  <w:r>
                    <w:rPr>
                      <w:color w:val="000000"/>
                      <w:sz w:val="28"/>
                      <w:szCs w:val="28"/>
                    </w:rPr>
                    <w:t>- бюджетные единицы – 18 210 271,14 руб.</w:t>
                  </w:r>
                </w:p>
                <w:p w:rsidR="009F54AC" w:rsidRDefault="0059407B">
                  <w:pPr>
                    <w:ind w:firstLine="700"/>
                    <w:jc w:val="both"/>
                  </w:pPr>
                  <w:r>
                    <w:rPr>
                      <w:color w:val="000000"/>
                      <w:sz w:val="28"/>
                      <w:szCs w:val="28"/>
                    </w:rPr>
                    <w:t>- бюджетные и автономные учреждения – 0,00 руб.</w:t>
                  </w:r>
                </w:p>
                <w:p w:rsidR="009F54AC" w:rsidRDefault="0059407B">
                  <w:pPr>
                    <w:ind w:firstLine="700"/>
                    <w:jc w:val="both"/>
                  </w:pPr>
                  <w:r>
                    <w:rPr>
                      <w:color w:val="000000"/>
                      <w:sz w:val="28"/>
                      <w:szCs w:val="28"/>
                    </w:rPr>
                    <w:t>- внебюджетные государственные единицы – 491 567,38 руб.</w:t>
                  </w:r>
                </w:p>
                <w:p w:rsidR="009F54AC" w:rsidRDefault="0059407B">
                  <w:pPr>
                    <w:ind w:firstLine="700"/>
                    <w:jc w:val="both"/>
                  </w:pPr>
                  <w:r>
                    <w:rPr>
                      <w:color w:val="000000"/>
                      <w:sz w:val="28"/>
                      <w:szCs w:val="28"/>
                    </w:rPr>
                    <w:lastRenderedPageBreak/>
                    <w:t>Остальная кредиторская задолженность не относится к сегментам, установленным в пунктах 7–10 СГС «Сведения о показателях отчетности по сегментам». </w:t>
                  </w:r>
                </w:p>
                <w:p w:rsidR="009F54AC" w:rsidRDefault="0059407B">
                  <w:pPr>
                    <w:ind w:firstLine="700"/>
                    <w:jc w:val="both"/>
                  </w:pPr>
                  <w:r>
                    <w:rPr>
                      <w:color w:val="000000"/>
                      <w:sz w:val="28"/>
                      <w:szCs w:val="28"/>
                    </w:rPr>
                    <w:t>По состоянию на 1 января 2025 года просроченная и долгосрочная кредиторская задолженность отсутствует.</w:t>
                  </w:r>
                </w:p>
                <w:p w:rsidR="009F54AC" w:rsidRDefault="0059407B">
                  <w:pPr>
                    <w:spacing w:before="190" w:after="190"/>
                    <w:jc w:val="both"/>
                  </w:pPr>
                  <w:r>
                    <w:rPr>
                      <w:color w:val="000000"/>
                      <w:sz w:val="28"/>
                      <w:szCs w:val="28"/>
                    </w:rPr>
                    <w:t>Информация по применению Стандарта №223н о показателях бухгалтерской отчетности по сегментам за 2024 год отражена в приложении 2 «Сведения к Пояснительной записке (ф.0503360) по раскрытию показателей по сегментам (по применению стандарта №223н)» (вложение таблица excel) к разделу 4 поясни</w:t>
                  </w:r>
                </w:p>
              </w:tc>
            </w:tr>
          </w:tbl>
          <w:p w:rsidR="009F54AC" w:rsidRDefault="0059407B">
            <w:pPr>
              <w:jc w:val="both"/>
              <w:rPr>
                <w:color w:val="000000"/>
                <w:sz w:val="28"/>
                <w:szCs w:val="28"/>
              </w:rPr>
            </w:pPr>
            <w:r>
              <w:rPr>
                <w:color w:val="000000"/>
                <w:sz w:val="28"/>
                <w:szCs w:val="28"/>
              </w:rPr>
              <w:lastRenderedPageBreak/>
              <w:t xml:space="preserve"> </w:t>
            </w:r>
          </w:p>
        </w:tc>
      </w:tr>
      <w:tr w:rsidR="009F54AC">
        <w:trPr>
          <w:trHeight w:val="322"/>
        </w:trPr>
        <w:tc>
          <w:tcPr>
            <w:tcW w:w="10314" w:type="dxa"/>
            <w:gridSpan w:val="7"/>
            <w:vMerge w:val="restart"/>
            <w:tcMar>
              <w:top w:w="0" w:type="dxa"/>
              <w:left w:w="0" w:type="dxa"/>
              <w:bottom w:w="0" w:type="dxa"/>
              <w:right w:w="0" w:type="dxa"/>
            </w:tcMar>
          </w:tcPr>
          <w:p w:rsidR="009F54AC" w:rsidRDefault="0059407B">
            <w:pPr>
              <w:jc w:val="center"/>
              <w:rPr>
                <w:b/>
                <w:bCs/>
                <w:color w:val="000000"/>
                <w:sz w:val="28"/>
                <w:szCs w:val="28"/>
              </w:rPr>
            </w:pPr>
            <w:r>
              <w:rPr>
                <w:b/>
                <w:bCs/>
                <w:color w:val="000000"/>
                <w:sz w:val="28"/>
                <w:szCs w:val="28"/>
              </w:rPr>
              <w:lastRenderedPageBreak/>
              <w:t>Раздел 5 «Прочие вопросы деятельности субъекта бюджетной отчетности»</w:t>
            </w:r>
          </w:p>
          <w:p w:rsidR="009F54AC" w:rsidRDefault="0059407B">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9F54AC">
              <w:tc>
                <w:tcPr>
                  <w:tcW w:w="10314" w:type="dxa"/>
                  <w:tcMar>
                    <w:top w:w="0" w:type="dxa"/>
                    <w:left w:w="0" w:type="dxa"/>
                    <w:bottom w:w="0" w:type="dxa"/>
                    <w:right w:w="0" w:type="dxa"/>
                  </w:tcMar>
                </w:tcPr>
                <w:p w:rsidR="009F54AC" w:rsidRDefault="0059407B">
                  <w:pPr>
                    <w:jc w:val="both"/>
                  </w:pPr>
                  <w:r>
                    <w:rPr>
                      <w:b/>
                      <w:bCs/>
                      <w:i/>
                      <w:iCs/>
                      <w:color w:val="000000"/>
                      <w:sz w:val="28"/>
                      <w:szCs w:val="28"/>
                    </w:rPr>
                    <w:t>Перечень форм бюджетной отчетности за отчетный период, не имеющие числовые значения показателей (не предоставлены в составе годовой отчетности):</w:t>
                  </w:r>
                </w:p>
                <w:p w:rsidR="009F54AC" w:rsidRDefault="009F54AC">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814"/>
                    <w:gridCol w:w="2529"/>
                    <w:gridCol w:w="3485"/>
                    <w:gridCol w:w="3486"/>
                  </w:tblGrid>
                  <w:tr w:rsidR="009F54AC">
                    <w:tc>
                      <w:tcPr>
                        <w:tcW w:w="81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w:t>
                        </w:r>
                      </w:p>
                    </w:tc>
                    <w:tc>
                      <w:tcPr>
                        <w:tcW w:w="6014" w:type="dxa"/>
                        <w:gridSpan w:val="2"/>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b/>
                            <w:bCs/>
                            <w:i/>
                            <w:iCs/>
                            <w:color w:val="000000"/>
                            <w:sz w:val="28"/>
                            <w:szCs w:val="28"/>
                          </w:rPr>
                          <w:t>Формы отчета</w:t>
                        </w:r>
                      </w:p>
                    </w:tc>
                    <w:tc>
                      <w:tcPr>
                        <w:tcW w:w="34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b/>
                            <w:bCs/>
                            <w:i/>
                            <w:iCs/>
                            <w:color w:val="000000"/>
                            <w:sz w:val="28"/>
                            <w:szCs w:val="28"/>
                          </w:rPr>
                          <w:t>Примечание</w:t>
                        </w:r>
                      </w:p>
                    </w:tc>
                  </w:tr>
                  <w:tr w:rsidR="009F54AC">
                    <w:trPr>
                      <w:trHeight w:val="1"/>
                    </w:trPr>
                    <w:tc>
                      <w:tcPr>
                        <w:tcW w:w="3343" w:type="dxa"/>
                        <w:gridSpan w:val="2"/>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9F54AC">
                        <w:pPr>
                          <w:spacing w:line="1" w:lineRule="auto"/>
                          <w:jc w:val="both"/>
                        </w:pPr>
                      </w:p>
                    </w:tc>
                    <w:tc>
                      <w:tcPr>
                        <w:tcW w:w="6971"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F54AC" w:rsidRDefault="009F54AC">
                        <w:pPr>
                          <w:spacing w:line="1" w:lineRule="auto"/>
                          <w:jc w:val="both"/>
                        </w:pPr>
                      </w:p>
                    </w:tc>
                  </w:tr>
                  <w:tr w:rsidR="009F54AC">
                    <w:tc>
                      <w:tcPr>
                        <w:tcW w:w="81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1.</w:t>
                        </w:r>
                      </w:p>
                    </w:tc>
                    <w:tc>
                      <w:tcPr>
                        <w:tcW w:w="6014" w:type="dxa"/>
                        <w:gridSpan w:val="2"/>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Сведения о движении бюджетных кредитов за отчетный год (приложение 1 к Порядку            № 2-нп)</w:t>
                        </w:r>
                      </w:p>
                    </w:tc>
                    <w:tc>
                      <w:tcPr>
                        <w:tcW w:w="34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center"/>
                        </w:pPr>
                        <w:r>
                          <w:rPr>
                            <w:color w:val="000000"/>
                            <w:sz w:val="28"/>
                            <w:szCs w:val="28"/>
                          </w:rPr>
                          <w:t>Показатели отсутствуют</w:t>
                        </w:r>
                      </w:p>
                    </w:tc>
                  </w:tr>
                  <w:tr w:rsidR="009F54AC">
                    <w:tc>
                      <w:tcPr>
                        <w:tcW w:w="81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2.</w:t>
                        </w:r>
                      </w:p>
                    </w:tc>
                    <w:tc>
                      <w:tcPr>
                        <w:tcW w:w="6014" w:type="dxa"/>
                        <w:gridSpan w:val="2"/>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Расшифровка дебиторской задолженности по контрактным обязательствам (Форма 0503192)</w:t>
                        </w:r>
                      </w:p>
                    </w:tc>
                    <w:tc>
                      <w:tcPr>
                        <w:tcW w:w="34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F54AC" w:rsidRDefault="0059407B">
                        <w:pPr>
                          <w:jc w:val="both"/>
                        </w:pPr>
                        <w:r>
                          <w:rPr>
                            <w:color w:val="000000"/>
                            <w:sz w:val="28"/>
                            <w:szCs w:val="28"/>
                          </w:rPr>
                          <w:t>Показатели отсутствуют</w:t>
                        </w:r>
                      </w:p>
                    </w:tc>
                  </w:tr>
                </w:tbl>
                <w:p w:rsidR="009F54AC" w:rsidRDefault="009F54AC">
                  <w:pPr>
                    <w:spacing w:line="1" w:lineRule="auto"/>
                  </w:pPr>
                </w:p>
              </w:tc>
            </w:tr>
          </w:tbl>
          <w:p w:rsidR="009F54AC" w:rsidRDefault="0059407B">
            <w:pPr>
              <w:jc w:val="both"/>
              <w:rPr>
                <w:color w:val="000000"/>
                <w:sz w:val="28"/>
                <w:szCs w:val="28"/>
              </w:rPr>
            </w:pPr>
            <w:r>
              <w:rPr>
                <w:color w:val="000000"/>
                <w:sz w:val="28"/>
                <w:szCs w:val="28"/>
              </w:rPr>
              <w:t xml:space="preserve"> </w:t>
            </w:r>
          </w:p>
        </w:tc>
      </w:tr>
      <w:tr w:rsidR="009F54AC">
        <w:tc>
          <w:tcPr>
            <w:tcW w:w="2267" w:type="dxa"/>
            <w:tcMar>
              <w:top w:w="0" w:type="dxa"/>
              <w:left w:w="0" w:type="dxa"/>
              <w:bottom w:w="0" w:type="dxa"/>
              <w:right w:w="0" w:type="dxa"/>
            </w:tcMar>
          </w:tcPr>
          <w:p w:rsidR="009F54AC" w:rsidRDefault="009F54AC">
            <w:pPr>
              <w:spacing w:line="1" w:lineRule="auto"/>
            </w:pPr>
          </w:p>
        </w:tc>
        <w:tc>
          <w:tcPr>
            <w:tcW w:w="623" w:type="dxa"/>
            <w:tcMar>
              <w:top w:w="0" w:type="dxa"/>
              <w:left w:w="0" w:type="dxa"/>
              <w:bottom w:w="0" w:type="dxa"/>
              <w:right w:w="0" w:type="dxa"/>
            </w:tcMar>
          </w:tcPr>
          <w:p w:rsidR="009F54AC" w:rsidRDefault="009F54AC">
            <w:pPr>
              <w:spacing w:line="1" w:lineRule="auto"/>
            </w:pPr>
          </w:p>
        </w:tc>
        <w:tc>
          <w:tcPr>
            <w:tcW w:w="623" w:type="dxa"/>
            <w:tcMar>
              <w:top w:w="0" w:type="dxa"/>
              <w:left w:w="0" w:type="dxa"/>
              <w:bottom w:w="0" w:type="dxa"/>
              <w:right w:w="0" w:type="dxa"/>
            </w:tcMar>
          </w:tcPr>
          <w:p w:rsidR="009F54AC" w:rsidRDefault="009F54AC">
            <w:pPr>
              <w:spacing w:line="1" w:lineRule="auto"/>
            </w:pP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1700" w:type="dxa"/>
            <w:tcMar>
              <w:top w:w="0" w:type="dxa"/>
              <w:left w:w="0" w:type="dxa"/>
              <w:bottom w:w="0" w:type="dxa"/>
              <w:right w:w="0" w:type="dxa"/>
            </w:tcMar>
          </w:tcPr>
          <w:p w:rsidR="009F54AC" w:rsidRDefault="009F54AC">
            <w:pPr>
              <w:spacing w:line="1" w:lineRule="auto"/>
            </w:pPr>
          </w:p>
        </w:tc>
        <w:tc>
          <w:tcPr>
            <w:tcW w:w="1984" w:type="dxa"/>
            <w:tcMar>
              <w:top w:w="0" w:type="dxa"/>
              <w:left w:w="0" w:type="dxa"/>
              <w:bottom w:w="0" w:type="dxa"/>
              <w:right w:w="0" w:type="dxa"/>
            </w:tcMar>
          </w:tcPr>
          <w:p w:rsidR="009F54AC" w:rsidRDefault="009F54AC">
            <w:pPr>
              <w:spacing w:line="1" w:lineRule="auto"/>
            </w:pPr>
          </w:p>
        </w:tc>
      </w:tr>
    </w:tbl>
    <w:p w:rsidR="009F54AC" w:rsidRDefault="009F54AC">
      <w:pPr>
        <w:rPr>
          <w:vanish/>
        </w:rPr>
      </w:pPr>
      <w:bookmarkStart w:id="2" w:name="__bookmark_3"/>
      <w:bookmarkEnd w:id="2"/>
    </w:p>
    <w:tbl>
      <w:tblPr>
        <w:tblOverlap w:val="never"/>
        <w:tblW w:w="9068" w:type="dxa"/>
        <w:tblLayout w:type="fixed"/>
        <w:tblLook w:val="01E0" w:firstRow="1" w:lastRow="1" w:firstColumn="1" w:lastColumn="1" w:noHBand="0" w:noVBand="0"/>
      </w:tblPr>
      <w:tblGrid>
        <w:gridCol w:w="2267"/>
        <w:gridCol w:w="283"/>
        <w:gridCol w:w="2834"/>
        <w:gridCol w:w="1700"/>
        <w:gridCol w:w="1984"/>
      </w:tblGrid>
      <w:tr w:rsidR="009F54AC">
        <w:tc>
          <w:tcPr>
            <w:tcW w:w="2267" w:type="dxa"/>
            <w:tcMar>
              <w:top w:w="0" w:type="dxa"/>
              <w:left w:w="0" w:type="dxa"/>
              <w:bottom w:w="0" w:type="dxa"/>
              <w:right w:w="0" w:type="dxa"/>
            </w:tcMar>
          </w:tcPr>
          <w:p w:rsidR="009F54AC" w:rsidRDefault="009F54AC">
            <w:pPr>
              <w:spacing w:line="1" w:lineRule="auto"/>
            </w:pP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1700" w:type="dxa"/>
            <w:tcMar>
              <w:top w:w="0" w:type="dxa"/>
              <w:left w:w="0" w:type="dxa"/>
              <w:bottom w:w="0" w:type="dxa"/>
              <w:right w:w="0" w:type="dxa"/>
            </w:tcMar>
          </w:tcPr>
          <w:p w:rsidR="009F54AC" w:rsidRDefault="009F54AC">
            <w:pPr>
              <w:spacing w:line="1" w:lineRule="auto"/>
            </w:pPr>
          </w:p>
        </w:tc>
        <w:tc>
          <w:tcPr>
            <w:tcW w:w="1984" w:type="dxa"/>
            <w:tcMar>
              <w:top w:w="0" w:type="dxa"/>
              <w:left w:w="0" w:type="dxa"/>
              <w:bottom w:w="0" w:type="dxa"/>
              <w:right w:w="0" w:type="dxa"/>
            </w:tcMar>
          </w:tcPr>
          <w:p w:rsidR="009F54AC" w:rsidRDefault="009F54AC">
            <w:pPr>
              <w:spacing w:line="1" w:lineRule="auto"/>
            </w:pPr>
          </w:p>
        </w:tc>
      </w:tr>
      <w:tr w:rsidR="009F54AC">
        <w:tc>
          <w:tcPr>
            <w:tcW w:w="2267" w:type="dxa"/>
            <w:vMerge w:val="restart"/>
            <w:tcMar>
              <w:top w:w="20" w:type="dxa"/>
              <w:left w:w="0" w:type="dxa"/>
              <w:bottom w:w="0" w:type="dxa"/>
              <w:right w:w="0" w:type="dxa"/>
            </w:tcMar>
            <w:vAlign w:val="center"/>
          </w:tcPr>
          <w:tbl>
            <w:tblPr>
              <w:tblOverlap w:val="never"/>
              <w:tblW w:w="2267" w:type="dxa"/>
              <w:tblLayout w:type="fixed"/>
              <w:tblCellMar>
                <w:left w:w="0" w:type="dxa"/>
                <w:right w:w="0" w:type="dxa"/>
              </w:tblCellMar>
              <w:tblLook w:val="01E0" w:firstRow="1" w:lastRow="1" w:firstColumn="1" w:lastColumn="1" w:noHBand="0" w:noVBand="0"/>
            </w:tblPr>
            <w:tblGrid>
              <w:gridCol w:w="2267"/>
            </w:tblGrid>
            <w:tr w:rsidR="009F54AC">
              <w:tc>
                <w:tcPr>
                  <w:tcW w:w="2267" w:type="dxa"/>
                  <w:tcMar>
                    <w:top w:w="0" w:type="dxa"/>
                    <w:left w:w="0" w:type="dxa"/>
                    <w:bottom w:w="0" w:type="dxa"/>
                    <w:right w:w="0" w:type="dxa"/>
                  </w:tcMar>
                </w:tcPr>
                <w:p w:rsidR="009F54AC" w:rsidRDefault="0059407B">
                  <w:r>
                    <w:rPr>
                      <w:color w:val="000000"/>
                      <w:sz w:val="28"/>
                      <w:szCs w:val="28"/>
                    </w:rPr>
                    <w:t>Заместель главы города - председатель комитета по финансам</w:t>
                  </w:r>
                </w:p>
              </w:tc>
            </w:tr>
          </w:tbl>
          <w:p w:rsidR="009F54AC" w:rsidRDefault="009F54AC">
            <w:pPr>
              <w:spacing w:line="1" w:lineRule="auto"/>
            </w:pP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3684" w:type="dxa"/>
            <w:gridSpan w:val="2"/>
            <w:vMerge w:val="restart"/>
            <w:tcBorders>
              <w:bottom w:val="single" w:sz="6" w:space="0" w:color="000000"/>
            </w:tcBorders>
            <w:tcMar>
              <w:top w:w="0" w:type="dxa"/>
              <w:left w:w="0" w:type="dxa"/>
              <w:bottom w:w="0" w:type="dxa"/>
              <w:right w:w="0" w:type="dxa"/>
            </w:tcMar>
          </w:tcPr>
          <w:p w:rsidR="009F54AC" w:rsidRDefault="009F54AC">
            <w:pPr>
              <w:rPr>
                <w:vanish/>
              </w:rPr>
            </w:pPr>
          </w:p>
          <w:tbl>
            <w:tblPr>
              <w:tblOverlap w:val="never"/>
              <w:tblW w:w="3684" w:type="dxa"/>
              <w:jc w:val="center"/>
              <w:tblLayout w:type="fixed"/>
              <w:tblCellMar>
                <w:left w:w="0" w:type="dxa"/>
                <w:right w:w="0" w:type="dxa"/>
              </w:tblCellMar>
              <w:tblLook w:val="01E0" w:firstRow="1" w:lastRow="1" w:firstColumn="1" w:lastColumn="1" w:noHBand="0" w:noVBand="0"/>
            </w:tblPr>
            <w:tblGrid>
              <w:gridCol w:w="3684"/>
            </w:tblGrid>
            <w:tr w:rsidR="009F54AC">
              <w:trPr>
                <w:jc w:val="center"/>
              </w:trPr>
              <w:tc>
                <w:tcPr>
                  <w:tcW w:w="3684" w:type="dxa"/>
                  <w:tcMar>
                    <w:top w:w="0" w:type="dxa"/>
                    <w:left w:w="0" w:type="dxa"/>
                    <w:bottom w:w="0" w:type="dxa"/>
                    <w:right w:w="0" w:type="dxa"/>
                  </w:tcMar>
                </w:tcPr>
                <w:p w:rsidR="009F54AC" w:rsidRDefault="0059407B">
                  <w:pPr>
                    <w:jc w:val="center"/>
                  </w:pPr>
                  <w:r>
                    <w:rPr>
                      <w:color w:val="000000"/>
                      <w:sz w:val="28"/>
                      <w:szCs w:val="28"/>
                    </w:rPr>
                    <w:t>В.В. Стефогло</w:t>
                  </w:r>
                </w:p>
              </w:tc>
            </w:tr>
          </w:tbl>
          <w:p w:rsidR="009F54AC" w:rsidRDefault="009F54AC">
            <w:pPr>
              <w:spacing w:line="1" w:lineRule="auto"/>
            </w:pPr>
          </w:p>
        </w:tc>
      </w:tr>
      <w:tr w:rsidR="009F54AC">
        <w:trPr>
          <w:trHeight w:val="453"/>
        </w:trPr>
        <w:tc>
          <w:tcPr>
            <w:tcW w:w="2267" w:type="dxa"/>
            <w:vMerge/>
            <w:tcMar>
              <w:top w:w="20" w:type="dxa"/>
              <w:left w:w="0" w:type="dxa"/>
              <w:bottom w:w="0" w:type="dxa"/>
              <w:right w:w="0" w:type="dxa"/>
            </w:tcMar>
            <w:vAlign w:val="center"/>
          </w:tcPr>
          <w:p w:rsidR="009F54AC" w:rsidRDefault="009F54AC">
            <w:pPr>
              <w:spacing w:line="1" w:lineRule="auto"/>
            </w:pP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3684" w:type="dxa"/>
            <w:gridSpan w:val="2"/>
            <w:vMerge w:val="restart"/>
            <w:tcMar>
              <w:top w:w="0" w:type="dxa"/>
              <w:left w:w="0" w:type="dxa"/>
              <w:bottom w:w="0" w:type="dxa"/>
              <w:right w:w="0" w:type="dxa"/>
            </w:tcMar>
          </w:tcPr>
          <w:p w:rsidR="009F54AC" w:rsidRDefault="0059407B">
            <w:pPr>
              <w:jc w:val="center"/>
              <w:rPr>
                <w:color w:val="000000"/>
                <w:sz w:val="14"/>
                <w:szCs w:val="14"/>
              </w:rPr>
            </w:pPr>
            <w:r>
              <w:rPr>
                <w:color w:val="000000"/>
                <w:sz w:val="14"/>
                <w:szCs w:val="14"/>
              </w:rPr>
              <w:t>(расшифровка подписи)</w:t>
            </w:r>
          </w:p>
        </w:tc>
      </w:tr>
      <w:tr w:rsidR="009F54AC">
        <w:trPr>
          <w:trHeight w:val="230"/>
        </w:trPr>
        <w:tc>
          <w:tcPr>
            <w:tcW w:w="9068" w:type="dxa"/>
            <w:gridSpan w:val="5"/>
            <w:vMerge w:val="restart"/>
            <w:tcMar>
              <w:top w:w="20" w:type="dxa"/>
              <w:left w:w="0" w:type="dxa"/>
              <w:bottom w:w="0" w:type="dxa"/>
              <w:right w:w="0" w:type="dxa"/>
            </w:tcMar>
            <w:vAlign w:val="center"/>
          </w:tcPr>
          <w:tbl>
            <w:tblPr>
              <w:tblOverlap w:val="never"/>
              <w:tblW w:w="9068"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068"/>
            </w:tblGrid>
            <w:tr w:rsidR="009F54AC">
              <w:trPr>
                <w:trHeight w:val="322"/>
              </w:trPr>
              <w:tc>
                <w:tcPr>
                  <w:tcW w:w="9068" w:type="dxa"/>
                  <w:vMerge w:val="restart"/>
                  <w:tcMar>
                    <w:top w:w="0" w:type="dxa"/>
                    <w:left w:w="0" w:type="dxa"/>
                    <w:bottom w:w="0" w:type="dxa"/>
                    <w:right w:w="0" w:type="dxa"/>
                  </w:tcMar>
                  <w:vAlign w:val="center"/>
                </w:tcPr>
                <w:p w:rsidR="009F54AC" w:rsidRDefault="0059407B">
                  <w:pPr>
                    <w:jc w:val="center"/>
                    <w:rPr>
                      <w:b/>
                      <w:bCs/>
                      <w:color w:val="000000"/>
                      <w:sz w:val="28"/>
                      <w:szCs w:val="28"/>
                    </w:rPr>
                  </w:pPr>
                  <w:r>
                    <w:rPr>
                      <w:b/>
                      <w:bCs/>
                      <w:color w:val="000000"/>
                      <w:sz w:val="28"/>
                      <w:szCs w:val="28"/>
                    </w:rPr>
                    <w:t>ДОКУМЕНТ ПОДПИСАН ЭЛЕКТРОННОЙ ПОДПИСЬЮ</w:t>
                  </w:r>
                </w:p>
              </w:tc>
            </w:tr>
            <w:tr w:rsidR="009F54AC">
              <w:trPr>
                <w:trHeight w:val="230"/>
              </w:trPr>
              <w:tc>
                <w:tcPr>
                  <w:tcW w:w="9068" w:type="dxa"/>
                  <w:vMerge w:val="restart"/>
                  <w:tcBorders>
                    <w:right w:val="single" w:sz="18" w:space="0" w:color="000000"/>
                  </w:tcBorders>
                  <w:tcMar>
                    <w:top w:w="0" w:type="dxa"/>
                    <w:left w:w="0" w:type="dxa"/>
                    <w:bottom w:w="0" w:type="dxa"/>
                    <w:right w:w="0" w:type="dxa"/>
                  </w:tcMar>
                </w:tcPr>
                <w:tbl>
                  <w:tblPr>
                    <w:tblOverlap w:val="never"/>
                    <w:tblW w:w="9068" w:type="dxa"/>
                    <w:tblLayout w:type="fixed"/>
                    <w:tblCellMar>
                      <w:left w:w="0" w:type="dxa"/>
                      <w:right w:w="0" w:type="dxa"/>
                    </w:tblCellMar>
                    <w:tblLook w:val="01E0" w:firstRow="1" w:lastRow="1" w:firstColumn="1" w:lastColumn="1" w:noHBand="0" w:noVBand="0"/>
                  </w:tblPr>
                  <w:tblGrid>
                    <w:gridCol w:w="9068"/>
                  </w:tblGrid>
                  <w:tr w:rsidR="009F54AC">
                    <w:tc>
                      <w:tcPr>
                        <w:tcW w:w="9068" w:type="dxa"/>
                        <w:tcMar>
                          <w:top w:w="0" w:type="dxa"/>
                          <w:left w:w="0" w:type="dxa"/>
                          <w:bottom w:w="0" w:type="dxa"/>
                          <w:right w:w="0" w:type="dxa"/>
                        </w:tcMar>
                      </w:tcPr>
                      <w:p w:rsidR="009F54AC" w:rsidRDefault="0059407B">
                        <w:r>
                          <w:rPr>
                            <w:color w:val="000000"/>
                            <w:sz w:val="28"/>
                            <w:szCs w:val="28"/>
                          </w:rPr>
                          <w:t>Сертификат: 6569D32784670130F5B66253F24006FE</w:t>
                        </w:r>
                      </w:p>
                      <w:p w:rsidR="009F54AC" w:rsidRDefault="0059407B">
                        <w:r>
                          <w:rPr>
                            <w:color w:val="000000"/>
                            <w:sz w:val="28"/>
                            <w:szCs w:val="28"/>
                          </w:rPr>
                          <w:t>Владелец: Стефогло Венера Валерьевна</w:t>
                        </w:r>
                      </w:p>
                      <w:p w:rsidR="009F54AC" w:rsidRDefault="0059407B">
                        <w:r>
                          <w:rPr>
                            <w:color w:val="000000"/>
                            <w:sz w:val="28"/>
                            <w:szCs w:val="28"/>
                          </w:rPr>
                          <w:t>Действителен с 19.02.2025 по 15.05.2026</w:t>
                        </w:r>
                      </w:p>
                      <w:p w:rsidR="009F54AC" w:rsidRDefault="0059407B">
                        <w:r>
                          <w:rPr>
                            <w:color w:val="000000"/>
                            <w:sz w:val="28"/>
                            <w:szCs w:val="28"/>
                          </w:rPr>
                          <w:t>Дата подписания: 10.03.2025</w:t>
                        </w:r>
                      </w:p>
                      <w:p w:rsidR="009F54AC" w:rsidRDefault="0059407B">
                        <w:r>
                          <w:rPr>
                            <w:color w:val="000000"/>
                            <w:sz w:val="28"/>
                            <w:szCs w:val="28"/>
                          </w:rPr>
                          <w:t> </w:t>
                        </w:r>
                      </w:p>
                    </w:tc>
                  </w:tr>
                </w:tbl>
                <w:p w:rsidR="009F54AC" w:rsidRDefault="009F54AC">
                  <w:pPr>
                    <w:spacing w:line="1" w:lineRule="auto"/>
                  </w:pPr>
                </w:p>
              </w:tc>
            </w:tr>
          </w:tbl>
          <w:p w:rsidR="009F54AC" w:rsidRDefault="009F54AC">
            <w:pPr>
              <w:spacing w:line="1" w:lineRule="auto"/>
            </w:pPr>
          </w:p>
        </w:tc>
      </w:tr>
      <w:tr w:rsidR="009F54AC">
        <w:trPr>
          <w:trHeight w:val="1"/>
        </w:trPr>
        <w:tc>
          <w:tcPr>
            <w:tcW w:w="9068" w:type="dxa"/>
            <w:gridSpan w:val="5"/>
            <w:vMerge/>
            <w:tcMar>
              <w:top w:w="20" w:type="dxa"/>
              <w:left w:w="0" w:type="dxa"/>
              <w:bottom w:w="0" w:type="dxa"/>
              <w:right w:w="0" w:type="dxa"/>
            </w:tcMar>
            <w:vAlign w:val="center"/>
          </w:tcPr>
          <w:p w:rsidR="009F54AC" w:rsidRDefault="009F54AC">
            <w:pPr>
              <w:spacing w:line="1" w:lineRule="auto"/>
            </w:pPr>
          </w:p>
        </w:tc>
      </w:tr>
      <w:tr w:rsidR="009F54AC">
        <w:tc>
          <w:tcPr>
            <w:tcW w:w="2267" w:type="dxa"/>
            <w:tcMar>
              <w:top w:w="20" w:type="dxa"/>
              <w:left w:w="0" w:type="dxa"/>
              <w:bottom w:w="0" w:type="dxa"/>
              <w:right w:w="0" w:type="dxa"/>
            </w:tcMar>
            <w:vAlign w:val="center"/>
          </w:tcPr>
          <w:p w:rsidR="009F54AC" w:rsidRDefault="0059407B">
            <w:pPr>
              <w:rPr>
                <w:color w:val="000000"/>
                <w:sz w:val="28"/>
                <w:szCs w:val="28"/>
              </w:rPr>
            </w:pPr>
            <w:r>
              <w:rPr>
                <w:color w:val="000000"/>
                <w:sz w:val="28"/>
                <w:szCs w:val="28"/>
              </w:rPr>
              <w:t xml:space="preserve"> </w:t>
            </w: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1700" w:type="dxa"/>
            <w:tcMar>
              <w:top w:w="0" w:type="dxa"/>
              <w:left w:w="0" w:type="dxa"/>
              <w:bottom w:w="0" w:type="dxa"/>
              <w:right w:w="0" w:type="dxa"/>
            </w:tcMar>
          </w:tcPr>
          <w:p w:rsidR="009F54AC" w:rsidRDefault="009F54AC">
            <w:pPr>
              <w:spacing w:line="1" w:lineRule="auto"/>
            </w:pPr>
          </w:p>
        </w:tc>
        <w:tc>
          <w:tcPr>
            <w:tcW w:w="1984" w:type="dxa"/>
            <w:tcMar>
              <w:top w:w="0" w:type="dxa"/>
              <w:left w:w="0" w:type="dxa"/>
              <w:bottom w:w="0" w:type="dxa"/>
              <w:right w:w="0" w:type="dxa"/>
            </w:tcMar>
          </w:tcPr>
          <w:p w:rsidR="009F54AC" w:rsidRDefault="009F54AC">
            <w:pPr>
              <w:spacing w:line="1" w:lineRule="auto"/>
            </w:pPr>
          </w:p>
        </w:tc>
      </w:tr>
      <w:tr w:rsidR="009F54AC">
        <w:trPr>
          <w:trHeight w:val="226"/>
        </w:trPr>
        <w:tc>
          <w:tcPr>
            <w:tcW w:w="2267" w:type="dxa"/>
            <w:vMerge w:val="restart"/>
            <w:tcMar>
              <w:top w:w="0" w:type="dxa"/>
              <w:left w:w="0" w:type="dxa"/>
              <w:bottom w:w="0" w:type="dxa"/>
              <w:right w:w="0" w:type="dxa"/>
            </w:tcMar>
            <w:vAlign w:val="center"/>
          </w:tcPr>
          <w:tbl>
            <w:tblPr>
              <w:tblOverlap w:val="never"/>
              <w:tblW w:w="2267" w:type="dxa"/>
              <w:tblLayout w:type="fixed"/>
              <w:tblCellMar>
                <w:left w:w="0" w:type="dxa"/>
                <w:right w:w="0" w:type="dxa"/>
              </w:tblCellMar>
              <w:tblLook w:val="01E0" w:firstRow="1" w:lastRow="1" w:firstColumn="1" w:lastColumn="1" w:noHBand="0" w:noVBand="0"/>
            </w:tblPr>
            <w:tblGrid>
              <w:gridCol w:w="2267"/>
            </w:tblGrid>
            <w:tr w:rsidR="009F54AC">
              <w:tc>
                <w:tcPr>
                  <w:tcW w:w="2267" w:type="dxa"/>
                  <w:tcMar>
                    <w:top w:w="0" w:type="dxa"/>
                    <w:left w:w="0" w:type="dxa"/>
                    <w:bottom w:w="0" w:type="dxa"/>
                    <w:right w:w="0" w:type="dxa"/>
                  </w:tcMar>
                </w:tcPr>
                <w:p w:rsidR="009F54AC" w:rsidRDefault="0059407B">
                  <w:r>
                    <w:rPr>
                      <w:color w:val="000000"/>
                      <w:sz w:val="28"/>
                      <w:szCs w:val="28"/>
                    </w:rPr>
                    <w:t>Начальник отдела</w:t>
                  </w:r>
                </w:p>
              </w:tc>
            </w:tr>
          </w:tbl>
          <w:p w:rsidR="009F54AC" w:rsidRDefault="009F54AC">
            <w:pPr>
              <w:spacing w:line="1" w:lineRule="auto"/>
            </w:pP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3684" w:type="dxa"/>
            <w:gridSpan w:val="2"/>
            <w:vMerge w:val="restart"/>
            <w:tcBorders>
              <w:bottom w:val="single" w:sz="6" w:space="0" w:color="000000"/>
            </w:tcBorders>
            <w:tcMar>
              <w:top w:w="0" w:type="dxa"/>
              <w:left w:w="0" w:type="dxa"/>
              <w:bottom w:w="0" w:type="dxa"/>
              <w:right w:w="0" w:type="dxa"/>
            </w:tcMar>
          </w:tcPr>
          <w:p w:rsidR="009F54AC" w:rsidRDefault="009F54AC">
            <w:pPr>
              <w:rPr>
                <w:vanish/>
              </w:rPr>
            </w:pPr>
          </w:p>
          <w:tbl>
            <w:tblPr>
              <w:tblOverlap w:val="never"/>
              <w:tblW w:w="3684" w:type="dxa"/>
              <w:jc w:val="center"/>
              <w:tblLayout w:type="fixed"/>
              <w:tblCellMar>
                <w:left w:w="0" w:type="dxa"/>
                <w:right w:w="0" w:type="dxa"/>
              </w:tblCellMar>
              <w:tblLook w:val="01E0" w:firstRow="1" w:lastRow="1" w:firstColumn="1" w:lastColumn="1" w:noHBand="0" w:noVBand="0"/>
            </w:tblPr>
            <w:tblGrid>
              <w:gridCol w:w="3684"/>
            </w:tblGrid>
            <w:tr w:rsidR="009F54AC">
              <w:trPr>
                <w:jc w:val="center"/>
              </w:trPr>
              <w:tc>
                <w:tcPr>
                  <w:tcW w:w="3684" w:type="dxa"/>
                  <w:tcMar>
                    <w:top w:w="0" w:type="dxa"/>
                    <w:left w:w="0" w:type="dxa"/>
                    <w:bottom w:w="0" w:type="dxa"/>
                    <w:right w:w="0" w:type="dxa"/>
                  </w:tcMar>
                </w:tcPr>
                <w:p w:rsidR="009F54AC" w:rsidRDefault="0059407B">
                  <w:pPr>
                    <w:jc w:val="center"/>
                  </w:pPr>
                  <w:r>
                    <w:rPr>
                      <w:color w:val="000000"/>
                      <w:sz w:val="28"/>
                      <w:szCs w:val="28"/>
                    </w:rPr>
                    <w:t>Е.В. Вагина</w:t>
                  </w:r>
                </w:p>
              </w:tc>
            </w:tr>
          </w:tbl>
          <w:p w:rsidR="009F54AC" w:rsidRDefault="009F54AC">
            <w:pPr>
              <w:spacing w:line="1" w:lineRule="auto"/>
            </w:pPr>
          </w:p>
        </w:tc>
      </w:tr>
      <w:tr w:rsidR="009F54AC">
        <w:trPr>
          <w:trHeight w:val="453"/>
        </w:trPr>
        <w:tc>
          <w:tcPr>
            <w:tcW w:w="2267" w:type="dxa"/>
            <w:vMerge/>
            <w:tcMar>
              <w:top w:w="0" w:type="dxa"/>
              <w:left w:w="0" w:type="dxa"/>
              <w:bottom w:w="0" w:type="dxa"/>
              <w:right w:w="0" w:type="dxa"/>
            </w:tcMar>
            <w:vAlign w:val="center"/>
          </w:tcPr>
          <w:p w:rsidR="009F54AC" w:rsidRDefault="009F54AC">
            <w:pPr>
              <w:spacing w:line="1" w:lineRule="auto"/>
            </w:pP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3684" w:type="dxa"/>
            <w:gridSpan w:val="2"/>
            <w:vMerge w:val="restart"/>
            <w:tcMar>
              <w:top w:w="0" w:type="dxa"/>
              <w:left w:w="0" w:type="dxa"/>
              <w:bottom w:w="0" w:type="dxa"/>
              <w:right w:w="0" w:type="dxa"/>
            </w:tcMar>
          </w:tcPr>
          <w:p w:rsidR="009F54AC" w:rsidRDefault="0059407B">
            <w:pPr>
              <w:jc w:val="center"/>
              <w:rPr>
                <w:color w:val="000000"/>
                <w:sz w:val="14"/>
                <w:szCs w:val="14"/>
              </w:rPr>
            </w:pPr>
            <w:r>
              <w:rPr>
                <w:color w:val="000000"/>
                <w:sz w:val="14"/>
                <w:szCs w:val="14"/>
              </w:rPr>
              <w:t>(расшифровка подписи)</w:t>
            </w:r>
          </w:p>
        </w:tc>
      </w:tr>
      <w:tr w:rsidR="009F54AC">
        <w:trPr>
          <w:trHeight w:val="230"/>
        </w:trPr>
        <w:tc>
          <w:tcPr>
            <w:tcW w:w="9068" w:type="dxa"/>
            <w:gridSpan w:val="5"/>
            <w:vMerge w:val="restart"/>
            <w:tcMar>
              <w:top w:w="0" w:type="dxa"/>
              <w:left w:w="0" w:type="dxa"/>
              <w:bottom w:w="0" w:type="dxa"/>
              <w:right w:w="0" w:type="dxa"/>
            </w:tcMar>
            <w:vAlign w:val="center"/>
          </w:tcPr>
          <w:tbl>
            <w:tblPr>
              <w:tblOverlap w:val="never"/>
              <w:tblW w:w="9068"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068"/>
            </w:tblGrid>
            <w:tr w:rsidR="009F54AC">
              <w:trPr>
                <w:trHeight w:val="322"/>
              </w:trPr>
              <w:tc>
                <w:tcPr>
                  <w:tcW w:w="9068" w:type="dxa"/>
                  <w:vMerge w:val="restart"/>
                  <w:tcMar>
                    <w:top w:w="0" w:type="dxa"/>
                    <w:left w:w="0" w:type="dxa"/>
                    <w:bottom w:w="0" w:type="dxa"/>
                    <w:right w:w="0" w:type="dxa"/>
                  </w:tcMar>
                  <w:vAlign w:val="center"/>
                </w:tcPr>
                <w:p w:rsidR="009F54AC" w:rsidRDefault="0059407B">
                  <w:pPr>
                    <w:jc w:val="center"/>
                    <w:rPr>
                      <w:b/>
                      <w:bCs/>
                      <w:color w:val="000000"/>
                      <w:sz w:val="28"/>
                      <w:szCs w:val="28"/>
                    </w:rPr>
                  </w:pPr>
                  <w:r>
                    <w:rPr>
                      <w:b/>
                      <w:bCs/>
                      <w:color w:val="000000"/>
                      <w:sz w:val="28"/>
                      <w:szCs w:val="28"/>
                    </w:rPr>
                    <w:t>ДОКУМЕНТ ПОДПИСАН ЭЛЕКТРОННОЙ ПОДПИСЬЮ</w:t>
                  </w:r>
                </w:p>
              </w:tc>
            </w:tr>
            <w:tr w:rsidR="009F54AC">
              <w:trPr>
                <w:trHeight w:val="230"/>
              </w:trPr>
              <w:tc>
                <w:tcPr>
                  <w:tcW w:w="9068" w:type="dxa"/>
                  <w:vMerge w:val="restart"/>
                  <w:tcBorders>
                    <w:right w:val="single" w:sz="18" w:space="0" w:color="000000"/>
                  </w:tcBorders>
                  <w:tcMar>
                    <w:top w:w="0" w:type="dxa"/>
                    <w:left w:w="0" w:type="dxa"/>
                    <w:bottom w:w="0" w:type="dxa"/>
                    <w:right w:w="0" w:type="dxa"/>
                  </w:tcMar>
                </w:tcPr>
                <w:tbl>
                  <w:tblPr>
                    <w:tblOverlap w:val="never"/>
                    <w:tblW w:w="9068" w:type="dxa"/>
                    <w:tblLayout w:type="fixed"/>
                    <w:tblCellMar>
                      <w:left w:w="0" w:type="dxa"/>
                      <w:right w:w="0" w:type="dxa"/>
                    </w:tblCellMar>
                    <w:tblLook w:val="01E0" w:firstRow="1" w:lastRow="1" w:firstColumn="1" w:lastColumn="1" w:noHBand="0" w:noVBand="0"/>
                  </w:tblPr>
                  <w:tblGrid>
                    <w:gridCol w:w="9068"/>
                  </w:tblGrid>
                  <w:tr w:rsidR="009F54AC">
                    <w:tc>
                      <w:tcPr>
                        <w:tcW w:w="9068" w:type="dxa"/>
                        <w:tcMar>
                          <w:top w:w="0" w:type="dxa"/>
                          <w:left w:w="0" w:type="dxa"/>
                          <w:bottom w:w="0" w:type="dxa"/>
                          <w:right w:w="0" w:type="dxa"/>
                        </w:tcMar>
                      </w:tcPr>
                      <w:p w:rsidR="009F54AC" w:rsidRDefault="0059407B">
                        <w:r>
                          <w:rPr>
                            <w:color w:val="000000"/>
                            <w:sz w:val="28"/>
                            <w:szCs w:val="28"/>
                          </w:rPr>
                          <w:t>Сертификат: 5F0106F04BBEB714E76E233BB23B208D</w:t>
                        </w:r>
                      </w:p>
                      <w:p w:rsidR="009F54AC" w:rsidRDefault="0059407B">
                        <w:r>
                          <w:rPr>
                            <w:color w:val="000000"/>
                            <w:sz w:val="28"/>
                            <w:szCs w:val="28"/>
                          </w:rPr>
                          <w:t>Владелец: Вагина Екатерина Викторовна</w:t>
                        </w:r>
                      </w:p>
                      <w:p w:rsidR="009F54AC" w:rsidRDefault="0059407B">
                        <w:r>
                          <w:rPr>
                            <w:color w:val="000000"/>
                            <w:sz w:val="28"/>
                            <w:szCs w:val="28"/>
                          </w:rPr>
                          <w:t>Действителен с 06.02.2025 по 02.05.2026</w:t>
                        </w:r>
                      </w:p>
                      <w:p w:rsidR="009F54AC" w:rsidRDefault="0059407B">
                        <w:r>
                          <w:rPr>
                            <w:color w:val="000000"/>
                            <w:sz w:val="28"/>
                            <w:szCs w:val="28"/>
                          </w:rPr>
                          <w:lastRenderedPageBreak/>
                          <w:t>Дата подписания: 10.03.2025</w:t>
                        </w:r>
                      </w:p>
                      <w:p w:rsidR="009F54AC" w:rsidRDefault="0059407B">
                        <w:r>
                          <w:rPr>
                            <w:color w:val="000000"/>
                            <w:sz w:val="28"/>
                            <w:szCs w:val="28"/>
                          </w:rPr>
                          <w:t> </w:t>
                        </w:r>
                      </w:p>
                    </w:tc>
                  </w:tr>
                </w:tbl>
                <w:p w:rsidR="009F54AC" w:rsidRDefault="009F54AC">
                  <w:pPr>
                    <w:spacing w:line="1" w:lineRule="auto"/>
                  </w:pPr>
                </w:p>
              </w:tc>
            </w:tr>
          </w:tbl>
          <w:p w:rsidR="009F54AC" w:rsidRDefault="009F54AC">
            <w:pPr>
              <w:spacing w:line="1" w:lineRule="auto"/>
            </w:pPr>
          </w:p>
        </w:tc>
      </w:tr>
      <w:tr w:rsidR="009F54AC">
        <w:trPr>
          <w:trHeight w:val="1"/>
        </w:trPr>
        <w:tc>
          <w:tcPr>
            <w:tcW w:w="9068" w:type="dxa"/>
            <w:gridSpan w:val="5"/>
            <w:vMerge/>
            <w:tcMar>
              <w:top w:w="0" w:type="dxa"/>
              <w:left w:w="0" w:type="dxa"/>
              <w:bottom w:w="0" w:type="dxa"/>
              <w:right w:w="0" w:type="dxa"/>
            </w:tcMar>
            <w:vAlign w:val="center"/>
          </w:tcPr>
          <w:p w:rsidR="009F54AC" w:rsidRDefault="009F54AC">
            <w:pPr>
              <w:spacing w:line="1" w:lineRule="auto"/>
            </w:pPr>
          </w:p>
        </w:tc>
      </w:tr>
      <w:tr w:rsidR="009F54AC">
        <w:tc>
          <w:tcPr>
            <w:tcW w:w="2267" w:type="dxa"/>
            <w:tcMar>
              <w:top w:w="0" w:type="dxa"/>
              <w:left w:w="0" w:type="dxa"/>
              <w:bottom w:w="0" w:type="dxa"/>
              <w:right w:w="0" w:type="dxa"/>
            </w:tcMar>
            <w:vAlign w:val="center"/>
          </w:tcPr>
          <w:p w:rsidR="009F54AC" w:rsidRDefault="0059407B">
            <w:pPr>
              <w:rPr>
                <w:color w:val="000000"/>
                <w:sz w:val="28"/>
                <w:szCs w:val="28"/>
              </w:rPr>
            </w:pPr>
            <w:r>
              <w:rPr>
                <w:color w:val="000000"/>
                <w:sz w:val="28"/>
                <w:szCs w:val="28"/>
              </w:rPr>
              <w:t xml:space="preserve"> </w:t>
            </w: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1700" w:type="dxa"/>
            <w:tcMar>
              <w:top w:w="0" w:type="dxa"/>
              <w:left w:w="0" w:type="dxa"/>
              <w:bottom w:w="0" w:type="dxa"/>
              <w:right w:w="0" w:type="dxa"/>
            </w:tcMar>
          </w:tcPr>
          <w:p w:rsidR="009F54AC" w:rsidRDefault="009F54AC">
            <w:pPr>
              <w:spacing w:line="1" w:lineRule="auto"/>
            </w:pPr>
          </w:p>
        </w:tc>
        <w:tc>
          <w:tcPr>
            <w:tcW w:w="1984" w:type="dxa"/>
            <w:tcMar>
              <w:top w:w="0" w:type="dxa"/>
              <w:left w:w="0" w:type="dxa"/>
              <w:bottom w:w="0" w:type="dxa"/>
              <w:right w:w="0" w:type="dxa"/>
            </w:tcMar>
          </w:tcPr>
          <w:p w:rsidR="009F54AC" w:rsidRDefault="009F54AC">
            <w:pPr>
              <w:spacing w:line="1" w:lineRule="auto"/>
            </w:pPr>
          </w:p>
        </w:tc>
      </w:tr>
      <w:tr w:rsidR="009F54AC">
        <w:tc>
          <w:tcPr>
            <w:tcW w:w="2267" w:type="dxa"/>
            <w:vMerge w:val="restart"/>
            <w:tcMar>
              <w:top w:w="0" w:type="dxa"/>
              <w:left w:w="0" w:type="dxa"/>
              <w:bottom w:w="0" w:type="dxa"/>
              <w:right w:w="0" w:type="dxa"/>
            </w:tcMar>
            <w:vAlign w:val="center"/>
          </w:tcPr>
          <w:tbl>
            <w:tblPr>
              <w:tblOverlap w:val="never"/>
              <w:tblW w:w="2267" w:type="dxa"/>
              <w:tblLayout w:type="fixed"/>
              <w:tblCellMar>
                <w:left w:w="0" w:type="dxa"/>
                <w:right w:w="0" w:type="dxa"/>
              </w:tblCellMar>
              <w:tblLook w:val="01E0" w:firstRow="1" w:lastRow="1" w:firstColumn="1" w:lastColumn="1" w:noHBand="0" w:noVBand="0"/>
            </w:tblPr>
            <w:tblGrid>
              <w:gridCol w:w="2267"/>
            </w:tblGrid>
            <w:tr w:rsidR="009F54AC">
              <w:tc>
                <w:tcPr>
                  <w:tcW w:w="2267" w:type="dxa"/>
                  <w:tcMar>
                    <w:top w:w="0" w:type="dxa"/>
                    <w:left w:w="0" w:type="dxa"/>
                    <w:bottom w:w="0" w:type="dxa"/>
                    <w:right w:w="0" w:type="dxa"/>
                  </w:tcMar>
                </w:tcPr>
                <w:p w:rsidR="009F54AC" w:rsidRDefault="0059407B">
                  <w:r>
                    <w:rPr>
                      <w:color w:val="000000"/>
                      <w:sz w:val="28"/>
                      <w:szCs w:val="28"/>
                    </w:rPr>
                    <w:t>заместитель председателя - начальник отдела отчетности, обслуживания муниципального долга и казначейского исполнения комитета по финансам</w:t>
                  </w:r>
                </w:p>
              </w:tc>
            </w:tr>
          </w:tbl>
          <w:p w:rsidR="009F54AC" w:rsidRDefault="009F54AC">
            <w:pPr>
              <w:spacing w:line="1" w:lineRule="auto"/>
            </w:pP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3684" w:type="dxa"/>
            <w:gridSpan w:val="2"/>
            <w:vMerge w:val="restart"/>
            <w:tcBorders>
              <w:bottom w:val="single" w:sz="6" w:space="0" w:color="000000"/>
            </w:tcBorders>
            <w:tcMar>
              <w:top w:w="0" w:type="dxa"/>
              <w:left w:w="0" w:type="dxa"/>
              <w:bottom w:w="0" w:type="dxa"/>
              <w:right w:w="0" w:type="dxa"/>
            </w:tcMar>
          </w:tcPr>
          <w:p w:rsidR="009F54AC" w:rsidRDefault="009F54AC">
            <w:pPr>
              <w:rPr>
                <w:vanish/>
              </w:rPr>
            </w:pPr>
          </w:p>
          <w:tbl>
            <w:tblPr>
              <w:tblOverlap w:val="never"/>
              <w:tblW w:w="3684" w:type="dxa"/>
              <w:jc w:val="center"/>
              <w:tblLayout w:type="fixed"/>
              <w:tblCellMar>
                <w:left w:w="0" w:type="dxa"/>
                <w:right w:w="0" w:type="dxa"/>
              </w:tblCellMar>
              <w:tblLook w:val="01E0" w:firstRow="1" w:lastRow="1" w:firstColumn="1" w:lastColumn="1" w:noHBand="0" w:noVBand="0"/>
            </w:tblPr>
            <w:tblGrid>
              <w:gridCol w:w="3684"/>
            </w:tblGrid>
            <w:tr w:rsidR="009F54AC">
              <w:trPr>
                <w:jc w:val="center"/>
              </w:trPr>
              <w:tc>
                <w:tcPr>
                  <w:tcW w:w="3684" w:type="dxa"/>
                  <w:tcMar>
                    <w:top w:w="0" w:type="dxa"/>
                    <w:left w:w="0" w:type="dxa"/>
                    <w:bottom w:w="0" w:type="dxa"/>
                    <w:right w:w="0" w:type="dxa"/>
                  </w:tcMar>
                </w:tcPr>
                <w:p w:rsidR="009F54AC" w:rsidRDefault="0059407B">
                  <w:pPr>
                    <w:jc w:val="center"/>
                  </w:pPr>
                  <w:r>
                    <w:rPr>
                      <w:color w:val="000000"/>
                      <w:sz w:val="28"/>
                      <w:szCs w:val="28"/>
                    </w:rPr>
                    <w:t>И.Г. Кочурова</w:t>
                  </w:r>
                </w:p>
              </w:tc>
            </w:tr>
          </w:tbl>
          <w:p w:rsidR="009F54AC" w:rsidRDefault="009F54AC">
            <w:pPr>
              <w:spacing w:line="1" w:lineRule="auto"/>
            </w:pPr>
          </w:p>
        </w:tc>
      </w:tr>
      <w:tr w:rsidR="009F54AC">
        <w:trPr>
          <w:trHeight w:val="453"/>
        </w:trPr>
        <w:tc>
          <w:tcPr>
            <w:tcW w:w="2267" w:type="dxa"/>
            <w:vMerge/>
            <w:tcMar>
              <w:top w:w="0" w:type="dxa"/>
              <w:left w:w="0" w:type="dxa"/>
              <w:bottom w:w="0" w:type="dxa"/>
              <w:right w:w="0" w:type="dxa"/>
            </w:tcMar>
            <w:vAlign w:val="center"/>
          </w:tcPr>
          <w:p w:rsidR="009F54AC" w:rsidRDefault="009F54AC">
            <w:pPr>
              <w:spacing w:line="1" w:lineRule="auto"/>
            </w:pP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3684" w:type="dxa"/>
            <w:gridSpan w:val="2"/>
            <w:vMerge w:val="restart"/>
            <w:tcMar>
              <w:top w:w="0" w:type="dxa"/>
              <w:left w:w="0" w:type="dxa"/>
              <w:bottom w:w="0" w:type="dxa"/>
              <w:right w:w="0" w:type="dxa"/>
            </w:tcMar>
          </w:tcPr>
          <w:p w:rsidR="009F54AC" w:rsidRDefault="0059407B">
            <w:pPr>
              <w:jc w:val="center"/>
              <w:rPr>
                <w:color w:val="000000"/>
                <w:sz w:val="14"/>
                <w:szCs w:val="14"/>
              </w:rPr>
            </w:pPr>
            <w:r>
              <w:rPr>
                <w:color w:val="000000"/>
                <w:sz w:val="14"/>
                <w:szCs w:val="14"/>
              </w:rPr>
              <w:t>(расшифровка подписи)</w:t>
            </w:r>
          </w:p>
        </w:tc>
      </w:tr>
      <w:tr w:rsidR="009F54AC">
        <w:trPr>
          <w:trHeight w:val="230"/>
        </w:trPr>
        <w:tc>
          <w:tcPr>
            <w:tcW w:w="9068" w:type="dxa"/>
            <w:gridSpan w:val="5"/>
            <w:vMerge w:val="restart"/>
            <w:tcMar>
              <w:top w:w="0" w:type="dxa"/>
              <w:left w:w="0" w:type="dxa"/>
              <w:bottom w:w="0" w:type="dxa"/>
              <w:right w:w="0" w:type="dxa"/>
            </w:tcMar>
            <w:vAlign w:val="center"/>
          </w:tcPr>
          <w:tbl>
            <w:tblPr>
              <w:tblOverlap w:val="never"/>
              <w:tblW w:w="9068"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068"/>
            </w:tblGrid>
            <w:tr w:rsidR="009F54AC">
              <w:trPr>
                <w:trHeight w:val="322"/>
              </w:trPr>
              <w:tc>
                <w:tcPr>
                  <w:tcW w:w="9068" w:type="dxa"/>
                  <w:vMerge w:val="restart"/>
                  <w:tcMar>
                    <w:top w:w="0" w:type="dxa"/>
                    <w:left w:w="0" w:type="dxa"/>
                    <w:bottom w:w="0" w:type="dxa"/>
                    <w:right w:w="0" w:type="dxa"/>
                  </w:tcMar>
                  <w:vAlign w:val="center"/>
                </w:tcPr>
                <w:p w:rsidR="009F54AC" w:rsidRDefault="0059407B">
                  <w:pPr>
                    <w:jc w:val="center"/>
                    <w:rPr>
                      <w:b/>
                      <w:bCs/>
                      <w:color w:val="000000"/>
                      <w:sz w:val="28"/>
                      <w:szCs w:val="28"/>
                    </w:rPr>
                  </w:pPr>
                  <w:r>
                    <w:rPr>
                      <w:b/>
                      <w:bCs/>
                      <w:color w:val="000000"/>
                      <w:sz w:val="28"/>
                      <w:szCs w:val="28"/>
                    </w:rPr>
                    <w:t>ДОКУМЕНТ ПОДПИСАН ЭЛЕКТРОННОЙ ПОДПИСЬЮ</w:t>
                  </w:r>
                </w:p>
              </w:tc>
            </w:tr>
            <w:tr w:rsidR="009F54AC">
              <w:trPr>
                <w:trHeight w:val="230"/>
              </w:trPr>
              <w:tc>
                <w:tcPr>
                  <w:tcW w:w="9068" w:type="dxa"/>
                  <w:vMerge w:val="restart"/>
                  <w:tcBorders>
                    <w:right w:val="single" w:sz="18" w:space="0" w:color="000000"/>
                  </w:tcBorders>
                  <w:tcMar>
                    <w:top w:w="0" w:type="dxa"/>
                    <w:left w:w="0" w:type="dxa"/>
                    <w:bottom w:w="0" w:type="dxa"/>
                    <w:right w:w="0" w:type="dxa"/>
                  </w:tcMar>
                </w:tcPr>
                <w:tbl>
                  <w:tblPr>
                    <w:tblOverlap w:val="never"/>
                    <w:tblW w:w="9068" w:type="dxa"/>
                    <w:tblLayout w:type="fixed"/>
                    <w:tblCellMar>
                      <w:left w:w="0" w:type="dxa"/>
                      <w:right w:w="0" w:type="dxa"/>
                    </w:tblCellMar>
                    <w:tblLook w:val="01E0" w:firstRow="1" w:lastRow="1" w:firstColumn="1" w:lastColumn="1" w:noHBand="0" w:noVBand="0"/>
                  </w:tblPr>
                  <w:tblGrid>
                    <w:gridCol w:w="9068"/>
                  </w:tblGrid>
                  <w:tr w:rsidR="009F54AC">
                    <w:tc>
                      <w:tcPr>
                        <w:tcW w:w="9068" w:type="dxa"/>
                        <w:tcMar>
                          <w:top w:w="0" w:type="dxa"/>
                          <w:left w:w="0" w:type="dxa"/>
                          <w:bottom w:w="0" w:type="dxa"/>
                          <w:right w:w="0" w:type="dxa"/>
                        </w:tcMar>
                      </w:tcPr>
                      <w:p w:rsidR="009F54AC" w:rsidRDefault="0059407B">
                        <w:r>
                          <w:rPr>
                            <w:color w:val="000000"/>
                            <w:sz w:val="28"/>
                            <w:szCs w:val="28"/>
                          </w:rPr>
                          <w:t>Сертификат: 5427229D680D85396D7206FEAAF63935</w:t>
                        </w:r>
                      </w:p>
                      <w:p w:rsidR="009F54AC" w:rsidRDefault="0059407B">
                        <w:r>
                          <w:rPr>
                            <w:color w:val="000000"/>
                            <w:sz w:val="28"/>
                            <w:szCs w:val="28"/>
                          </w:rPr>
                          <w:t>Владелец: Кочурова Ирина Геннадьевна</w:t>
                        </w:r>
                      </w:p>
                      <w:p w:rsidR="009F54AC" w:rsidRDefault="0059407B">
                        <w:r>
                          <w:rPr>
                            <w:color w:val="000000"/>
                            <w:sz w:val="28"/>
                            <w:szCs w:val="28"/>
                          </w:rPr>
                          <w:t>Действителен с 20.02.2024 по 15.05.2025</w:t>
                        </w:r>
                      </w:p>
                      <w:p w:rsidR="009F54AC" w:rsidRDefault="0059407B">
                        <w:r>
                          <w:rPr>
                            <w:color w:val="000000"/>
                            <w:sz w:val="28"/>
                            <w:szCs w:val="28"/>
                          </w:rPr>
                          <w:t>Дата подписания: 10.03.2025</w:t>
                        </w:r>
                      </w:p>
                      <w:p w:rsidR="009F54AC" w:rsidRDefault="0059407B">
                        <w:r>
                          <w:rPr>
                            <w:color w:val="000000"/>
                            <w:sz w:val="28"/>
                            <w:szCs w:val="28"/>
                          </w:rPr>
                          <w:t> </w:t>
                        </w:r>
                      </w:p>
                    </w:tc>
                  </w:tr>
                </w:tbl>
                <w:p w:rsidR="009F54AC" w:rsidRDefault="009F54AC">
                  <w:pPr>
                    <w:spacing w:line="1" w:lineRule="auto"/>
                  </w:pPr>
                </w:p>
              </w:tc>
            </w:tr>
          </w:tbl>
          <w:p w:rsidR="009F54AC" w:rsidRDefault="009F54AC">
            <w:pPr>
              <w:spacing w:line="1" w:lineRule="auto"/>
            </w:pPr>
          </w:p>
        </w:tc>
      </w:tr>
      <w:tr w:rsidR="009F54AC">
        <w:trPr>
          <w:trHeight w:val="1"/>
        </w:trPr>
        <w:tc>
          <w:tcPr>
            <w:tcW w:w="9068" w:type="dxa"/>
            <w:gridSpan w:val="5"/>
            <w:vMerge/>
            <w:tcMar>
              <w:top w:w="0" w:type="dxa"/>
              <w:left w:w="0" w:type="dxa"/>
              <w:bottom w:w="0" w:type="dxa"/>
              <w:right w:w="0" w:type="dxa"/>
            </w:tcMar>
            <w:vAlign w:val="center"/>
          </w:tcPr>
          <w:p w:rsidR="009F54AC" w:rsidRDefault="009F54AC">
            <w:pPr>
              <w:spacing w:line="1" w:lineRule="auto"/>
            </w:pPr>
          </w:p>
        </w:tc>
      </w:tr>
      <w:tr w:rsidR="009F54AC">
        <w:tc>
          <w:tcPr>
            <w:tcW w:w="2267" w:type="dxa"/>
            <w:tcMar>
              <w:top w:w="0" w:type="dxa"/>
              <w:left w:w="0" w:type="dxa"/>
              <w:bottom w:w="0" w:type="dxa"/>
              <w:right w:w="0" w:type="dxa"/>
            </w:tcMar>
            <w:vAlign w:val="center"/>
          </w:tcPr>
          <w:p w:rsidR="009F54AC" w:rsidRDefault="0059407B">
            <w:pPr>
              <w:rPr>
                <w:color w:val="000000"/>
                <w:sz w:val="28"/>
                <w:szCs w:val="28"/>
              </w:rPr>
            </w:pPr>
            <w:r>
              <w:rPr>
                <w:color w:val="000000"/>
                <w:sz w:val="28"/>
                <w:szCs w:val="28"/>
              </w:rPr>
              <w:t xml:space="preserve"> </w:t>
            </w: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1700" w:type="dxa"/>
            <w:tcMar>
              <w:top w:w="0" w:type="dxa"/>
              <w:left w:w="0" w:type="dxa"/>
              <w:bottom w:w="0" w:type="dxa"/>
              <w:right w:w="0" w:type="dxa"/>
            </w:tcMar>
          </w:tcPr>
          <w:p w:rsidR="009F54AC" w:rsidRDefault="009F54AC">
            <w:pPr>
              <w:spacing w:line="1" w:lineRule="auto"/>
            </w:pPr>
          </w:p>
        </w:tc>
        <w:tc>
          <w:tcPr>
            <w:tcW w:w="1984" w:type="dxa"/>
            <w:tcMar>
              <w:top w:w="0" w:type="dxa"/>
              <w:left w:w="0" w:type="dxa"/>
              <w:bottom w:w="0" w:type="dxa"/>
              <w:right w:w="0" w:type="dxa"/>
            </w:tcMar>
          </w:tcPr>
          <w:p w:rsidR="009F54AC" w:rsidRDefault="009F54AC">
            <w:pPr>
              <w:spacing w:line="1" w:lineRule="auto"/>
            </w:pPr>
          </w:p>
        </w:tc>
      </w:tr>
      <w:tr w:rsidR="009F54AC">
        <w:tc>
          <w:tcPr>
            <w:tcW w:w="2267" w:type="dxa"/>
            <w:tcMar>
              <w:top w:w="0" w:type="dxa"/>
              <w:left w:w="0" w:type="dxa"/>
              <w:bottom w:w="0" w:type="dxa"/>
              <w:right w:w="0" w:type="dxa"/>
            </w:tcMar>
          </w:tcPr>
          <w:p w:rsidR="009F54AC" w:rsidRDefault="0059407B">
            <w:pPr>
              <w:rPr>
                <w:color w:val="000000"/>
                <w:sz w:val="28"/>
                <w:szCs w:val="28"/>
              </w:rPr>
            </w:pPr>
            <w:r>
              <w:rPr>
                <w:color w:val="000000"/>
                <w:sz w:val="28"/>
                <w:szCs w:val="28"/>
              </w:rPr>
              <w:t xml:space="preserve"> </w:t>
            </w:r>
          </w:p>
        </w:tc>
        <w:tc>
          <w:tcPr>
            <w:tcW w:w="283" w:type="dxa"/>
            <w:tcMar>
              <w:top w:w="0" w:type="dxa"/>
              <w:left w:w="0" w:type="dxa"/>
              <w:bottom w:w="0" w:type="dxa"/>
              <w:right w:w="0" w:type="dxa"/>
            </w:tcMar>
          </w:tcPr>
          <w:p w:rsidR="009F54AC" w:rsidRDefault="009F54AC">
            <w:pPr>
              <w:spacing w:line="1" w:lineRule="auto"/>
            </w:pPr>
          </w:p>
        </w:tc>
        <w:tc>
          <w:tcPr>
            <w:tcW w:w="2834" w:type="dxa"/>
            <w:tcMar>
              <w:top w:w="0" w:type="dxa"/>
              <w:left w:w="0" w:type="dxa"/>
              <w:bottom w:w="0" w:type="dxa"/>
              <w:right w:w="0" w:type="dxa"/>
            </w:tcMar>
          </w:tcPr>
          <w:p w:rsidR="009F54AC" w:rsidRDefault="009F54AC">
            <w:pPr>
              <w:spacing w:line="1" w:lineRule="auto"/>
            </w:pPr>
          </w:p>
        </w:tc>
        <w:tc>
          <w:tcPr>
            <w:tcW w:w="1700" w:type="dxa"/>
            <w:tcMar>
              <w:top w:w="0" w:type="dxa"/>
              <w:left w:w="0" w:type="dxa"/>
              <w:bottom w:w="0" w:type="dxa"/>
              <w:right w:w="0" w:type="dxa"/>
            </w:tcMar>
          </w:tcPr>
          <w:p w:rsidR="009F54AC" w:rsidRDefault="009F54AC">
            <w:pPr>
              <w:spacing w:line="1" w:lineRule="auto"/>
            </w:pPr>
          </w:p>
        </w:tc>
        <w:tc>
          <w:tcPr>
            <w:tcW w:w="1984" w:type="dxa"/>
            <w:tcMar>
              <w:top w:w="0" w:type="dxa"/>
              <w:left w:w="0" w:type="dxa"/>
              <w:bottom w:w="0" w:type="dxa"/>
              <w:right w:w="0" w:type="dxa"/>
            </w:tcMar>
          </w:tcPr>
          <w:p w:rsidR="009F54AC" w:rsidRDefault="009F54AC">
            <w:pPr>
              <w:spacing w:line="1" w:lineRule="auto"/>
            </w:pPr>
          </w:p>
        </w:tc>
      </w:tr>
      <w:tr w:rsidR="009F54AC">
        <w:trPr>
          <w:trHeight w:val="230"/>
        </w:trPr>
        <w:tc>
          <w:tcPr>
            <w:tcW w:w="9068" w:type="dxa"/>
            <w:gridSpan w:val="5"/>
            <w:vMerge w:val="restart"/>
            <w:tcMar>
              <w:top w:w="0" w:type="dxa"/>
              <w:left w:w="0" w:type="dxa"/>
              <w:bottom w:w="0" w:type="dxa"/>
              <w:right w:w="0" w:type="dxa"/>
            </w:tcMar>
          </w:tcPr>
          <w:tbl>
            <w:tblPr>
              <w:tblOverlap w:val="never"/>
              <w:tblW w:w="9068" w:type="dxa"/>
              <w:tblLayout w:type="fixed"/>
              <w:tblCellMar>
                <w:left w:w="0" w:type="dxa"/>
                <w:right w:w="0" w:type="dxa"/>
              </w:tblCellMar>
              <w:tblLook w:val="01E0" w:firstRow="1" w:lastRow="1" w:firstColumn="1" w:lastColumn="1" w:noHBand="0" w:noVBand="0"/>
            </w:tblPr>
            <w:tblGrid>
              <w:gridCol w:w="9068"/>
            </w:tblGrid>
            <w:tr w:rsidR="009F54AC">
              <w:tc>
                <w:tcPr>
                  <w:tcW w:w="9068" w:type="dxa"/>
                  <w:tcMar>
                    <w:top w:w="0" w:type="dxa"/>
                    <w:left w:w="0" w:type="dxa"/>
                    <w:bottom w:w="0" w:type="dxa"/>
                    <w:right w:w="0" w:type="dxa"/>
                  </w:tcMar>
                </w:tcPr>
                <w:p w:rsidR="009F54AC" w:rsidRDefault="0059407B">
                  <w:r>
                    <w:rPr>
                      <w:color w:val="000000"/>
                      <w:sz w:val="28"/>
                      <w:szCs w:val="28"/>
                    </w:rPr>
                    <w:t>19 февраля 2025 г.</w:t>
                  </w:r>
                </w:p>
              </w:tc>
            </w:tr>
          </w:tbl>
          <w:p w:rsidR="009F54AC" w:rsidRDefault="009F54AC">
            <w:pPr>
              <w:spacing w:line="1" w:lineRule="auto"/>
            </w:pPr>
          </w:p>
        </w:tc>
      </w:tr>
    </w:tbl>
    <w:p w:rsidR="00D56CB7" w:rsidRDefault="00D56CB7"/>
    <w:sectPr w:rsidR="00D56CB7" w:rsidSect="00C85733">
      <w:headerReference w:type="even" r:id="rId6"/>
      <w:headerReference w:type="default" r:id="rId7"/>
      <w:footerReference w:type="even" r:id="rId8"/>
      <w:footerReference w:type="default" r:id="rId9"/>
      <w:headerReference w:type="first" r:id="rId10"/>
      <w:footerReference w:type="first" r:id="rId11"/>
      <w:pgSz w:w="11905" w:h="16837"/>
      <w:pgMar w:top="1133" w:right="566" w:bottom="1133" w:left="1133" w:header="1133" w:footer="1133" w:gutter="0"/>
      <w:pgNumType w:start="29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4AC" w:rsidRDefault="009F54AC" w:rsidP="009F54AC">
      <w:r>
        <w:separator/>
      </w:r>
    </w:p>
  </w:endnote>
  <w:endnote w:type="continuationSeparator" w:id="0">
    <w:p w:rsidR="009F54AC" w:rsidRDefault="009F54AC" w:rsidP="009F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733" w:rsidRDefault="00C8573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21" w:type="dxa"/>
      <w:tblLayout w:type="fixed"/>
      <w:tblLook w:val="01E0" w:firstRow="1" w:lastRow="1" w:firstColumn="1" w:lastColumn="1" w:noHBand="0" w:noVBand="0"/>
    </w:tblPr>
    <w:tblGrid>
      <w:gridCol w:w="10421"/>
    </w:tblGrid>
    <w:tr w:rsidR="009F54AC">
      <w:tc>
        <w:tcPr>
          <w:tcW w:w="10421" w:type="dxa"/>
        </w:tcPr>
        <w:p w:rsidR="009F54AC" w:rsidRDefault="009F54AC">
          <w:pPr>
            <w:spacing w:line="1" w:lineRule="aut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733" w:rsidRDefault="00C8573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4AC" w:rsidRDefault="009F54AC" w:rsidP="009F54AC">
      <w:r>
        <w:separator/>
      </w:r>
    </w:p>
  </w:footnote>
  <w:footnote w:type="continuationSeparator" w:id="0">
    <w:p w:rsidR="009F54AC" w:rsidRDefault="009F54AC" w:rsidP="009F5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733" w:rsidRDefault="00C8573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0" w:type="dxa"/>
        <w:right w:w="0" w:type="dxa"/>
      </w:tblCellMar>
      <w:tblLook w:val="04A0" w:firstRow="1" w:lastRow="0" w:firstColumn="1" w:lastColumn="0" w:noHBand="0" w:noVBand="1"/>
    </w:tblPr>
    <w:tblGrid>
      <w:gridCol w:w="3402"/>
      <w:gridCol w:w="3403"/>
      <w:gridCol w:w="3401"/>
    </w:tblGrid>
    <w:tr w:rsidR="00C85733">
      <w:trPr>
        <w:trHeight w:val="720"/>
      </w:trPr>
      <w:tc>
        <w:tcPr>
          <w:tcW w:w="1667" w:type="pct"/>
        </w:tcPr>
        <w:p w:rsidR="00C85733" w:rsidRDefault="00C85733">
          <w:pPr>
            <w:pStyle w:val="a4"/>
            <w:tabs>
              <w:tab w:val="clear" w:pos="4677"/>
              <w:tab w:val="clear" w:pos="9355"/>
            </w:tabs>
            <w:rPr>
              <w:color w:val="5B9BD5" w:themeColor="accent1"/>
            </w:rPr>
          </w:pPr>
          <w:bookmarkStart w:id="3" w:name="_GoBack"/>
          <w:bookmarkEnd w:id="3"/>
        </w:p>
      </w:tc>
      <w:tc>
        <w:tcPr>
          <w:tcW w:w="1667" w:type="pct"/>
        </w:tcPr>
        <w:p w:rsidR="00C85733" w:rsidRDefault="00C85733">
          <w:pPr>
            <w:pStyle w:val="a4"/>
            <w:tabs>
              <w:tab w:val="clear" w:pos="4677"/>
              <w:tab w:val="clear" w:pos="9355"/>
            </w:tabs>
            <w:jc w:val="center"/>
            <w:rPr>
              <w:color w:val="5B9BD5" w:themeColor="accent1"/>
            </w:rPr>
          </w:pPr>
        </w:p>
      </w:tc>
      <w:tc>
        <w:tcPr>
          <w:tcW w:w="1666" w:type="pct"/>
        </w:tcPr>
        <w:p w:rsidR="00C85733" w:rsidRDefault="00C85733">
          <w:pPr>
            <w:pStyle w:val="a4"/>
            <w:tabs>
              <w:tab w:val="clear" w:pos="4677"/>
              <w:tab w:val="clear" w:pos="9355"/>
            </w:tabs>
            <w:jc w:val="right"/>
            <w:rPr>
              <w:color w:val="5B9BD5" w:themeColor="accent1"/>
            </w:rPr>
          </w:pPr>
          <w:r>
            <w:rPr>
              <w:color w:val="5B9BD5" w:themeColor="accent1"/>
              <w:sz w:val="24"/>
              <w:szCs w:val="24"/>
            </w:rPr>
            <w:fldChar w:fldCharType="begin"/>
          </w:r>
          <w:r>
            <w:rPr>
              <w:color w:val="5B9BD5" w:themeColor="accent1"/>
              <w:sz w:val="24"/>
              <w:szCs w:val="24"/>
            </w:rPr>
            <w:instrText>PAGE   \* MERGEFORMAT</w:instrText>
          </w:r>
          <w:r>
            <w:rPr>
              <w:color w:val="5B9BD5" w:themeColor="accent1"/>
              <w:sz w:val="24"/>
              <w:szCs w:val="24"/>
            </w:rPr>
            <w:fldChar w:fldCharType="separate"/>
          </w:r>
          <w:r>
            <w:rPr>
              <w:noProof/>
              <w:color w:val="5B9BD5" w:themeColor="accent1"/>
              <w:sz w:val="24"/>
              <w:szCs w:val="24"/>
            </w:rPr>
            <w:t>376</w:t>
          </w:r>
          <w:r>
            <w:rPr>
              <w:color w:val="5B9BD5" w:themeColor="accent1"/>
              <w:sz w:val="24"/>
              <w:szCs w:val="24"/>
            </w:rPr>
            <w:fldChar w:fldCharType="end"/>
          </w:r>
        </w:p>
      </w:tc>
    </w:tr>
  </w:tbl>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733" w:rsidRDefault="00C8573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4AC"/>
    <w:rsid w:val="0059407B"/>
    <w:rsid w:val="009F54AC"/>
    <w:rsid w:val="00C85733"/>
    <w:rsid w:val="00D56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50754A-EE4A-4D9B-850D-15882B04D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9F54AC"/>
    <w:rPr>
      <w:color w:val="0000FF"/>
      <w:u w:val="single"/>
    </w:rPr>
  </w:style>
  <w:style w:type="paragraph" w:styleId="a4">
    <w:name w:val="header"/>
    <w:basedOn w:val="a"/>
    <w:link w:val="a5"/>
    <w:uiPriority w:val="99"/>
    <w:unhideWhenUsed/>
    <w:rsid w:val="00C85733"/>
    <w:pPr>
      <w:tabs>
        <w:tab w:val="center" w:pos="4677"/>
        <w:tab w:val="right" w:pos="9355"/>
      </w:tabs>
    </w:pPr>
  </w:style>
  <w:style w:type="character" w:customStyle="1" w:styleId="a5">
    <w:name w:val="Верхний колонтитул Знак"/>
    <w:basedOn w:val="a0"/>
    <w:link w:val="a4"/>
    <w:uiPriority w:val="99"/>
    <w:rsid w:val="00C85733"/>
  </w:style>
  <w:style w:type="paragraph" w:styleId="a6">
    <w:name w:val="footer"/>
    <w:basedOn w:val="a"/>
    <w:link w:val="a7"/>
    <w:uiPriority w:val="99"/>
    <w:unhideWhenUsed/>
    <w:rsid w:val="00C85733"/>
    <w:pPr>
      <w:tabs>
        <w:tab w:val="center" w:pos="4677"/>
        <w:tab w:val="right" w:pos="9355"/>
      </w:tabs>
    </w:pPr>
  </w:style>
  <w:style w:type="character" w:customStyle="1" w:styleId="a7">
    <w:name w:val="Нижний колонтитул Знак"/>
    <w:basedOn w:val="a0"/>
    <w:link w:val="a6"/>
    <w:uiPriority w:val="99"/>
    <w:rsid w:val="00C85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81</Pages>
  <Words>27872</Words>
  <Characters>158874</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Альбина Коншина</dc:creator>
  <cp:keywords/>
  <dc:description/>
  <cp:lastModifiedBy>Алина Твердохлеб</cp:lastModifiedBy>
  <cp:revision>3</cp:revision>
  <dcterms:created xsi:type="dcterms:W3CDTF">2025-04-01T11:23:00Z</dcterms:created>
  <dcterms:modified xsi:type="dcterms:W3CDTF">2025-04-01T11:28:00Z</dcterms:modified>
</cp:coreProperties>
</file>